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E74" w:rsidRPr="005F7E74" w:rsidRDefault="005F7E74" w:rsidP="005F7E74">
      <w:pPr>
        <w:keepNext/>
        <w:keepLines/>
        <w:spacing w:after="0" w:line="23" w:lineRule="atLeast"/>
        <w:jc w:val="both"/>
        <w:outlineLvl w:val="1"/>
        <w:rPr>
          <w:rFonts w:ascii="Arial" w:eastAsiaTheme="majorEastAsia" w:hAnsi="Arial" w:cs="Arial"/>
          <w:bCs/>
          <w:color w:val="008000"/>
          <w:sz w:val="26"/>
          <w:szCs w:val="26"/>
          <w:lang w:eastAsia="es-ES"/>
        </w:rPr>
      </w:pPr>
      <w:r w:rsidRPr="005F7E74">
        <w:rPr>
          <w:rFonts w:ascii="Arial" w:eastAsiaTheme="majorEastAsia" w:hAnsi="Arial" w:cs="Arial"/>
          <w:b/>
          <w:bCs/>
          <w:color w:val="008000"/>
          <w:sz w:val="26"/>
          <w:szCs w:val="26"/>
          <w:lang w:eastAsia="es-ES"/>
        </w:rPr>
        <w:t>Comportamiento del parque vehicular en el Estado de Coahuila</w:t>
      </w:r>
    </w:p>
    <w:p w:rsidR="005F7E74" w:rsidRPr="005F7E74" w:rsidRDefault="005F7E74" w:rsidP="005F7E74">
      <w:pPr>
        <w:spacing w:after="0"/>
        <w:ind w:firstLine="708"/>
        <w:jc w:val="both"/>
        <w:rPr>
          <w:rFonts w:ascii="Arial" w:eastAsia="Times New Roman" w:hAnsi="Arial" w:cs="Arial"/>
          <w:sz w:val="12"/>
          <w:szCs w:val="24"/>
          <w:lang w:eastAsia="es-ES"/>
        </w:rPr>
      </w:pPr>
    </w:p>
    <w:p w:rsidR="005F7E74" w:rsidRPr="005F7E74" w:rsidRDefault="005F7E74" w:rsidP="005F7E74">
      <w:pPr>
        <w:spacing w:after="0"/>
        <w:jc w:val="both"/>
        <w:rPr>
          <w:rFonts w:ascii="Arial" w:eastAsia="Times New Roman" w:hAnsi="Arial" w:cs="Arial"/>
          <w:sz w:val="24"/>
          <w:szCs w:val="24"/>
          <w:lang w:eastAsia="es-ES"/>
        </w:rPr>
      </w:pPr>
      <w:r w:rsidRPr="005F7E74">
        <w:rPr>
          <w:rFonts w:ascii="Arial" w:eastAsia="Times New Roman" w:hAnsi="Arial" w:cs="Arial"/>
          <w:sz w:val="24"/>
          <w:szCs w:val="24"/>
          <w:lang w:eastAsia="es-ES"/>
        </w:rPr>
        <w:t xml:space="preserve">El INEGI reportó que durante el periodo de 1980 a 2015 el número de vehículos que circulan en el Estado de Coahuila pasó de 149,242 a 741,515 vehículos automotores, es decir, un incremento de 592,273 en 35 años (ver Figura 7). </w:t>
      </w:r>
    </w:p>
    <w:p w:rsidR="005F7E74" w:rsidRPr="005F7E74" w:rsidRDefault="005F7E74" w:rsidP="005F7E74">
      <w:pPr>
        <w:spacing w:after="0"/>
        <w:jc w:val="both"/>
        <w:rPr>
          <w:rFonts w:ascii="Arial" w:eastAsia="Times New Roman" w:hAnsi="Arial" w:cs="Arial"/>
          <w:sz w:val="8"/>
          <w:szCs w:val="24"/>
          <w:lang w:eastAsia="es-ES"/>
        </w:rPr>
      </w:pPr>
    </w:p>
    <w:p w:rsidR="005F7E74" w:rsidRPr="005F7E74" w:rsidRDefault="005F7E74" w:rsidP="005F7E74">
      <w:pPr>
        <w:spacing w:after="0" w:line="240" w:lineRule="auto"/>
        <w:rPr>
          <w:rFonts w:ascii="Arial" w:eastAsia="Times New Roman" w:hAnsi="Arial" w:cs="Arial"/>
          <w:bCs/>
          <w:sz w:val="24"/>
          <w:szCs w:val="24"/>
          <w:lang w:eastAsia="es-ES"/>
        </w:rPr>
      </w:pPr>
      <w:bookmarkStart w:id="0" w:name="_Toc487641992"/>
      <w:r w:rsidRPr="005F7E74">
        <w:rPr>
          <w:rFonts w:ascii="Arial" w:eastAsia="Times New Roman" w:hAnsi="Arial" w:cs="Arial"/>
          <w:b/>
          <w:bCs/>
          <w:color w:val="008000"/>
          <w:szCs w:val="24"/>
          <w:lang w:eastAsia="es-ES"/>
        </w:rPr>
        <w:t xml:space="preserve">Figura </w:t>
      </w:r>
      <w:r w:rsidRPr="005F7E74">
        <w:rPr>
          <w:rFonts w:ascii="Arial" w:eastAsia="Times New Roman" w:hAnsi="Arial" w:cs="Arial"/>
          <w:b/>
          <w:bCs/>
          <w:color w:val="008000"/>
          <w:szCs w:val="24"/>
          <w:lang w:eastAsia="es-ES"/>
        </w:rPr>
        <w:fldChar w:fldCharType="begin"/>
      </w:r>
      <w:r w:rsidRPr="005F7E74">
        <w:rPr>
          <w:rFonts w:ascii="Arial" w:eastAsia="Times New Roman" w:hAnsi="Arial" w:cs="Arial"/>
          <w:b/>
          <w:bCs/>
          <w:color w:val="008000"/>
          <w:szCs w:val="24"/>
          <w:lang w:eastAsia="es-ES"/>
        </w:rPr>
        <w:instrText xml:space="preserve"> SEQ Figura \* ARABIC </w:instrText>
      </w:r>
      <w:r w:rsidRPr="005F7E74">
        <w:rPr>
          <w:rFonts w:ascii="Arial" w:eastAsia="Times New Roman" w:hAnsi="Arial" w:cs="Arial"/>
          <w:b/>
          <w:bCs/>
          <w:color w:val="008000"/>
          <w:szCs w:val="24"/>
          <w:lang w:eastAsia="es-ES"/>
        </w:rPr>
        <w:fldChar w:fldCharType="separate"/>
      </w:r>
      <w:r w:rsidRPr="005F7E74">
        <w:rPr>
          <w:rFonts w:ascii="Arial" w:eastAsia="Times New Roman" w:hAnsi="Arial" w:cs="Arial"/>
          <w:b/>
          <w:bCs/>
          <w:noProof/>
          <w:color w:val="008000"/>
          <w:szCs w:val="24"/>
          <w:lang w:eastAsia="es-ES"/>
        </w:rPr>
        <w:t>7</w:t>
      </w:r>
      <w:r w:rsidRPr="005F7E74">
        <w:rPr>
          <w:rFonts w:ascii="Arial" w:eastAsia="Times New Roman" w:hAnsi="Arial" w:cs="Arial"/>
          <w:b/>
          <w:bCs/>
          <w:color w:val="008000"/>
          <w:szCs w:val="24"/>
          <w:lang w:eastAsia="es-ES"/>
        </w:rPr>
        <w:fldChar w:fldCharType="end"/>
      </w:r>
      <w:r w:rsidRPr="005F7E74">
        <w:rPr>
          <w:rFonts w:ascii="Arial" w:eastAsia="Times New Roman" w:hAnsi="Arial" w:cs="Arial"/>
          <w:b/>
          <w:bCs/>
          <w:color w:val="008000"/>
          <w:szCs w:val="24"/>
          <w:lang w:eastAsia="es-ES"/>
        </w:rPr>
        <w:t xml:space="preserve">. </w:t>
      </w:r>
      <w:r w:rsidRPr="005F7E74">
        <w:rPr>
          <w:rFonts w:ascii="Arial" w:eastAsia="Times New Roman" w:hAnsi="Arial" w:cs="Arial"/>
          <w:bCs/>
          <w:sz w:val="24"/>
          <w:szCs w:val="24"/>
          <w:lang w:eastAsia="es-ES"/>
        </w:rPr>
        <w:t>Comportamiento de la flota vehicular en el Estado de Coahuila</w:t>
      </w:r>
      <w:bookmarkEnd w:id="0"/>
    </w:p>
    <w:p w:rsidR="005F7E74" w:rsidRPr="005F7E74" w:rsidRDefault="005F7E74" w:rsidP="005F7E74">
      <w:pPr>
        <w:spacing w:after="0" w:line="240" w:lineRule="auto"/>
        <w:jc w:val="both"/>
        <w:rPr>
          <w:rFonts w:ascii="Arial" w:eastAsia="Times New Roman" w:hAnsi="Arial" w:cs="Times New Roman"/>
          <w:sz w:val="12"/>
          <w:szCs w:val="24"/>
          <w:lang w:eastAsia="es-ES"/>
        </w:rPr>
      </w:pPr>
    </w:p>
    <w:p w:rsidR="005F7E74" w:rsidRPr="005F7E74" w:rsidRDefault="005F7E74" w:rsidP="005F7E74">
      <w:pPr>
        <w:spacing w:after="0" w:line="240" w:lineRule="auto"/>
        <w:jc w:val="center"/>
        <w:rPr>
          <w:rFonts w:ascii="Arial" w:eastAsia="Times New Roman" w:hAnsi="Arial" w:cs="Times New Roman"/>
          <w:sz w:val="24"/>
          <w:szCs w:val="24"/>
          <w:lang w:eastAsia="es-ES"/>
        </w:rPr>
      </w:pPr>
      <w:r w:rsidRPr="005F7E74">
        <w:rPr>
          <w:rFonts w:ascii="Arial" w:eastAsia="Times New Roman" w:hAnsi="Arial" w:cs="Arial"/>
          <w:noProof/>
          <w:sz w:val="24"/>
          <w:szCs w:val="24"/>
          <w:lang w:eastAsia="es-MX"/>
        </w:rPr>
        <mc:AlternateContent>
          <mc:Choice Requires="wps">
            <w:drawing>
              <wp:anchor distT="0" distB="0" distL="114300" distR="114300" simplePos="0" relativeHeight="251659264" behindDoc="0" locked="0" layoutInCell="1" allowOverlap="1" wp14:anchorId="01E93341" wp14:editId="6A600187">
                <wp:simplePos x="0" y="0"/>
                <wp:positionH relativeFrom="column">
                  <wp:posOffset>253365</wp:posOffset>
                </wp:positionH>
                <wp:positionV relativeFrom="paragraph">
                  <wp:posOffset>2701290</wp:posOffset>
                </wp:positionV>
                <wp:extent cx="400050" cy="542925"/>
                <wp:effectExtent l="0" t="0" r="0" b="9525"/>
                <wp:wrapNone/>
                <wp:docPr id="282" name="Cuadro de texto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0050" cy="542925"/>
                        </a:xfrm>
                        <a:prstGeom prst="rect">
                          <a:avLst/>
                        </a:prstGeom>
                        <a:solidFill>
                          <a:sysClr val="window" lastClr="FFFFFF"/>
                        </a:solidFill>
                        <a:ln w="6350">
                          <a:noFill/>
                        </a:ln>
                        <a:effectLst/>
                      </wps:spPr>
                      <wps:txbx>
                        <w:txbxContent>
                          <w:p w:rsidR="005F7E74" w:rsidRPr="00E16B3D" w:rsidRDefault="005F7E74" w:rsidP="005F7E74">
                            <w:pPr>
                              <w:rPr>
                                <w:sz w:val="16"/>
                              </w:rPr>
                            </w:pPr>
                            <w:r w:rsidRPr="00E16B3D">
                              <w:rPr>
                                <w:sz w:val="16"/>
                              </w:rPr>
                              <w:t>Miles de vehículos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82" o:spid="_x0000_s1026" type="#_x0000_t202" style="position:absolute;left:0;text-align:left;margin-left:19.95pt;margin-top:212.7pt;width:31.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" fillcolor="window" stroked="f" strokeweight=".5pt">
                <v:path arrowok="t"/>
                <v:textbox style="layout-flow:vertical;mso-layout-flow-alt:bottom-to-top">
                  <w:txbxContent>
                    <w:p w:rsidR="005F7E74" w:rsidRPr="00E16B3D" w:rsidRDefault="005F7E74" w:rsidP="005F7E74">
                      <w:pPr>
                        <w:rPr>
                          <w:sz w:val="16"/>
                        </w:rPr>
                      </w:pPr>
                      <w:r w:rsidRPr="00E16B3D">
                        <w:rPr>
                          <w:sz w:val="16"/>
                        </w:rPr>
                        <w:t>Miles de vehículos</w:t>
                      </w:r>
                    </w:p>
                  </w:txbxContent>
                </v:textbox>
              </v:shape>
            </w:pict>
          </mc:Fallback>
        </mc:AlternateContent>
      </w:r>
      <w:r w:rsidRPr="005F7E74">
        <w:rPr>
          <w:rFonts w:ascii="Arial" w:eastAsia="Times New Roman" w:hAnsi="Arial" w:cs="Times New Roman"/>
          <w:noProof/>
          <w:sz w:val="24"/>
          <w:szCs w:val="24"/>
          <w:lang w:eastAsia="es-MX"/>
        </w:rPr>
        <w:drawing>
          <wp:inline distT="0" distB="0" distL="0" distR="0" wp14:anchorId="00278BBD" wp14:editId="0828872A">
            <wp:extent cx="5181600" cy="3267075"/>
            <wp:effectExtent l="0" t="0" r="0" b="952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F7E74" w:rsidRPr="005F7E74" w:rsidRDefault="005F7E74" w:rsidP="005F7E74">
      <w:pPr>
        <w:spacing w:after="0" w:line="23" w:lineRule="atLeast"/>
        <w:rPr>
          <w:rFonts w:ascii="Arial" w:eastAsia="Times New Roman" w:hAnsi="Arial" w:cs="Arial"/>
          <w:sz w:val="20"/>
          <w:szCs w:val="24"/>
          <w:lang w:eastAsia="es-ES"/>
        </w:rPr>
      </w:pPr>
      <w:r w:rsidRPr="005F7E74">
        <w:rPr>
          <w:rFonts w:ascii="Arial" w:eastAsia="Times New Roman" w:hAnsi="Arial" w:cs="Arial"/>
          <w:b/>
          <w:sz w:val="20"/>
          <w:szCs w:val="24"/>
          <w:lang w:eastAsia="es-ES"/>
        </w:rPr>
        <w:t>Fuente:</w:t>
      </w:r>
      <w:r w:rsidRPr="005F7E74">
        <w:rPr>
          <w:rFonts w:ascii="Arial" w:eastAsia="Times New Roman" w:hAnsi="Arial" w:cs="Arial"/>
          <w:sz w:val="20"/>
          <w:szCs w:val="24"/>
          <w:lang w:eastAsia="es-ES"/>
        </w:rPr>
        <w:t xml:space="preserve"> Elaboración propia con datos de INEGI. Vehículos de motor registrados en circulación.</w:t>
      </w:r>
    </w:p>
    <w:p w:rsidR="00E65C35" w:rsidRDefault="005F7E74"/>
    <w:p w:rsidR="005F7E74" w:rsidRPr="005F7E74" w:rsidRDefault="005F7E74" w:rsidP="005F7E74">
      <w:pPr>
        <w:keepNext/>
        <w:keepLines/>
        <w:spacing w:after="0"/>
        <w:outlineLvl w:val="2"/>
        <w:rPr>
          <w:rFonts w:ascii="Arial" w:eastAsiaTheme="majorEastAsia" w:hAnsi="Arial" w:cs="Arial"/>
          <w:b/>
          <w:bCs/>
          <w:sz w:val="28"/>
          <w:szCs w:val="28"/>
          <w:lang w:eastAsia="es-MX"/>
        </w:rPr>
      </w:pPr>
      <w:r w:rsidRPr="005F7E74">
        <w:rPr>
          <w:rFonts w:ascii="Arial" w:eastAsiaTheme="majorEastAsia" w:hAnsi="Arial" w:cs="Arial"/>
          <w:b/>
          <w:bCs/>
          <w:color w:val="008000"/>
          <w:sz w:val="28"/>
          <w:szCs w:val="28"/>
          <w:lang w:eastAsia="es-MX"/>
        </w:rPr>
        <w:t>Distribución de días buenos, regulares y malos</w:t>
      </w:r>
    </w:p>
    <w:p w:rsidR="005F7E74" w:rsidRPr="005F7E74" w:rsidRDefault="005F7E74" w:rsidP="005F7E74">
      <w:pPr>
        <w:spacing w:after="0" w:line="240" w:lineRule="auto"/>
        <w:jc w:val="both"/>
        <w:rPr>
          <w:rFonts w:ascii="Arial" w:eastAsia="Times New Roman" w:hAnsi="Arial" w:cs="Arial"/>
          <w:sz w:val="24"/>
          <w:szCs w:val="24"/>
          <w:lang w:eastAsia="es-ES"/>
        </w:rPr>
      </w:pPr>
    </w:p>
    <w:p w:rsidR="005F7E74" w:rsidRPr="005F7E74" w:rsidRDefault="005F7E74" w:rsidP="005F7E74">
      <w:pPr>
        <w:spacing w:after="0"/>
        <w:jc w:val="both"/>
        <w:rPr>
          <w:rFonts w:ascii="Arial" w:eastAsia="Times New Roman" w:hAnsi="Arial" w:cs="Arial"/>
          <w:sz w:val="24"/>
          <w:szCs w:val="24"/>
          <w:lang w:eastAsia="es-ES"/>
        </w:rPr>
      </w:pPr>
      <w:r w:rsidRPr="005F7E74">
        <w:rPr>
          <w:rFonts w:ascii="Arial" w:eastAsia="Times New Roman" w:hAnsi="Arial" w:cs="Arial"/>
          <w:sz w:val="24"/>
          <w:szCs w:val="24"/>
          <w:lang w:eastAsia="es-ES"/>
        </w:rPr>
        <w:t>En las Figuras 12 a 16 se muestran las gráficas con el número de días buenos, regulares y malos de PM</w:t>
      </w:r>
      <w:r w:rsidRPr="005F7E74">
        <w:rPr>
          <w:rFonts w:ascii="Arial" w:eastAsia="Times New Roman" w:hAnsi="Arial" w:cs="Arial"/>
          <w:sz w:val="24"/>
          <w:szCs w:val="24"/>
          <w:vertAlign w:val="subscript"/>
          <w:lang w:eastAsia="es-ES"/>
        </w:rPr>
        <w:t>10</w:t>
      </w:r>
      <w:r w:rsidRPr="005F7E74">
        <w:rPr>
          <w:rFonts w:ascii="Arial" w:eastAsia="Times New Roman" w:hAnsi="Arial" w:cs="Arial"/>
          <w:sz w:val="24"/>
          <w:szCs w:val="24"/>
          <w:lang w:eastAsia="es-ES"/>
        </w:rPr>
        <w:t>, PM</w:t>
      </w:r>
      <w:r w:rsidRPr="005F7E74">
        <w:rPr>
          <w:rFonts w:ascii="Arial" w:eastAsia="Times New Roman" w:hAnsi="Arial" w:cs="Arial"/>
          <w:sz w:val="24"/>
          <w:szCs w:val="24"/>
          <w:vertAlign w:val="subscript"/>
          <w:lang w:eastAsia="es-ES"/>
        </w:rPr>
        <w:t>2.5</w:t>
      </w:r>
      <w:r w:rsidRPr="005F7E74">
        <w:rPr>
          <w:rFonts w:ascii="Arial" w:eastAsia="Times New Roman" w:hAnsi="Arial" w:cs="Arial"/>
          <w:sz w:val="24"/>
          <w:szCs w:val="24"/>
          <w:lang w:eastAsia="es-ES"/>
        </w:rPr>
        <w:t>, O</w:t>
      </w:r>
      <w:r w:rsidRPr="005F7E74">
        <w:rPr>
          <w:rFonts w:ascii="Arial" w:eastAsia="Times New Roman" w:hAnsi="Arial" w:cs="Arial"/>
          <w:sz w:val="24"/>
          <w:szCs w:val="24"/>
          <w:vertAlign w:val="subscript"/>
          <w:lang w:eastAsia="es-ES"/>
        </w:rPr>
        <w:t>3</w:t>
      </w:r>
      <w:r w:rsidRPr="005F7E74">
        <w:rPr>
          <w:rFonts w:ascii="Arial" w:eastAsia="Times New Roman" w:hAnsi="Arial" w:cs="Arial"/>
          <w:sz w:val="24"/>
          <w:szCs w:val="24"/>
          <w:lang w:eastAsia="es-ES"/>
        </w:rPr>
        <w:t>, NO</w:t>
      </w:r>
      <w:r w:rsidRPr="005F7E74">
        <w:rPr>
          <w:rFonts w:ascii="Arial" w:eastAsia="Times New Roman" w:hAnsi="Arial" w:cs="Arial"/>
          <w:sz w:val="24"/>
          <w:szCs w:val="24"/>
          <w:vertAlign w:val="subscript"/>
          <w:lang w:eastAsia="es-ES"/>
        </w:rPr>
        <w:t xml:space="preserve">2 </w:t>
      </w:r>
      <w:r w:rsidRPr="005F7E74">
        <w:rPr>
          <w:rFonts w:ascii="Arial" w:eastAsia="Times New Roman" w:hAnsi="Arial" w:cs="Arial"/>
          <w:sz w:val="24"/>
          <w:szCs w:val="24"/>
          <w:lang w:eastAsia="es-ES"/>
        </w:rPr>
        <w:t>y CO para cada uno de los años que se cuentan con mediciones de los municipios de Torreón, Saltillo, Monclova y Piedras Negras.</w:t>
      </w:r>
    </w:p>
    <w:p w:rsidR="005F7E74" w:rsidRPr="005F7E74" w:rsidRDefault="005F7E74" w:rsidP="005F7E74">
      <w:pPr>
        <w:spacing w:after="0" w:line="240" w:lineRule="auto"/>
        <w:jc w:val="both"/>
        <w:rPr>
          <w:rFonts w:ascii="Arial" w:eastAsia="Times New Roman" w:hAnsi="Arial" w:cs="Arial"/>
          <w:sz w:val="24"/>
          <w:szCs w:val="24"/>
          <w:lang w:eastAsia="es-ES"/>
        </w:rPr>
      </w:pPr>
    </w:p>
    <w:p w:rsidR="005F7E74" w:rsidRPr="005F7E74" w:rsidRDefault="005F7E74" w:rsidP="005F7E74">
      <w:pPr>
        <w:spacing w:after="0"/>
        <w:ind w:firstLine="708"/>
        <w:jc w:val="both"/>
        <w:rPr>
          <w:rFonts w:ascii="Arial" w:eastAsia="Times New Roman" w:hAnsi="Arial" w:cs="Arial"/>
          <w:sz w:val="24"/>
          <w:szCs w:val="24"/>
          <w:lang w:eastAsia="es-ES"/>
        </w:rPr>
      </w:pPr>
      <w:r w:rsidRPr="005F7E74">
        <w:rPr>
          <w:rFonts w:ascii="Arial" w:eastAsia="Times New Roman" w:hAnsi="Arial" w:cs="Arial"/>
          <w:sz w:val="24"/>
          <w:szCs w:val="24"/>
          <w:lang w:eastAsia="es-ES"/>
        </w:rPr>
        <w:t>En la Figura 12 se ilustra la distribución de días para las PM</w:t>
      </w:r>
      <w:r w:rsidRPr="005F7E74">
        <w:rPr>
          <w:rFonts w:ascii="Arial" w:eastAsia="Times New Roman" w:hAnsi="Arial" w:cs="Arial"/>
          <w:sz w:val="24"/>
          <w:szCs w:val="24"/>
          <w:vertAlign w:val="subscript"/>
          <w:lang w:eastAsia="es-ES"/>
        </w:rPr>
        <w:t>10</w:t>
      </w:r>
      <w:r w:rsidRPr="005F7E74">
        <w:rPr>
          <w:rFonts w:ascii="Arial" w:eastAsia="Times New Roman" w:hAnsi="Arial" w:cs="Arial"/>
          <w:sz w:val="24"/>
          <w:szCs w:val="24"/>
          <w:lang w:eastAsia="es-ES"/>
        </w:rPr>
        <w:t xml:space="preserve">, se aprecia que en todos los años y en todos los municipios en los que fue posible calcular los promedios de 24 horas, varios días se clasificaron en color rojo, lo que indica que su valor rebasó los 75 µg/m³. En los años 2013 y 2014 en el municipio de Torreón es cuando más días malos se presentaron, alrededor de 100 en cada uno de los años. En 2016 el municipio de Monclova es el que presentó el mayor número de días malos (30 días) seguido por Saltillo. En Piedras Negras, si bien muestra el menor número de días malos, el número de días que no fue posible calificar la </w:t>
      </w:r>
      <w:r w:rsidRPr="005F7E74">
        <w:rPr>
          <w:rFonts w:ascii="Arial" w:eastAsia="Times New Roman" w:hAnsi="Arial" w:cs="Arial"/>
          <w:sz w:val="24"/>
          <w:szCs w:val="24"/>
          <w:lang w:eastAsia="es-ES"/>
        </w:rPr>
        <w:lastRenderedPageBreak/>
        <w:t>calidad de aire con respecto a las PM</w:t>
      </w:r>
      <w:r w:rsidRPr="005F7E74">
        <w:rPr>
          <w:rFonts w:ascii="Arial" w:eastAsia="Times New Roman" w:hAnsi="Arial" w:cs="Arial"/>
          <w:sz w:val="24"/>
          <w:szCs w:val="24"/>
          <w:vertAlign w:val="subscript"/>
          <w:lang w:eastAsia="es-ES"/>
        </w:rPr>
        <w:t>10</w:t>
      </w:r>
      <w:r w:rsidRPr="005F7E74">
        <w:rPr>
          <w:rFonts w:ascii="Arial" w:eastAsia="Times New Roman" w:hAnsi="Arial" w:cs="Arial"/>
          <w:sz w:val="24"/>
          <w:szCs w:val="24"/>
          <w:lang w:eastAsia="es-ES"/>
        </w:rPr>
        <w:t xml:space="preserve"> es de 156 días, por lo que no es posible establecer si en esos días la calidad del aire fue mala o no. </w:t>
      </w:r>
    </w:p>
    <w:p w:rsidR="005F7E74" w:rsidRPr="005F7E74" w:rsidRDefault="005F7E74" w:rsidP="005F7E74">
      <w:pPr>
        <w:spacing w:after="0"/>
        <w:jc w:val="both"/>
        <w:rPr>
          <w:rFonts w:ascii="Arial" w:eastAsia="Times New Roman" w:hAnsi="Arial" w:cs="Arial"/>
          <w:sz w:val="24"/>
          <w:szCs w:val="24"/>
          <w:lang w:eastAsia="es-ES"/>
        </w:rPr>
      </w:pPr>
    </w:p>
    <w:p w:rsidR="005F7E74" w:rsidRPr="005F7E74" w:rsidRDefault="005F7E74" w:rsidP="005F7E74">
      <w:pPr>
        <w:spacing w:before="60" w:after="60" w:line="23" w:lineRule="atLeast"/>
        <w:rPr>
          <w:rFonts w:ascii="Arial" w:eastAsia="Times New Roman" w:hAnsi="Arial" w:cs="Arial"/>
          <w:b/>
          <w:color w:val="943634" w:themeColor="accent2" w:themeShade="BF"/>
          <w:lang w:eastAsia="es-ES"/>
        </w:rPr>
      </w:pPr>
      <w:bookmarkStart w:id="1" w:name="_Toc341474831"/>
      <w:bookmarkStart w:id="2" w:name="OLE_LINK7"/>
      <w:bookmarkStart w:id="3" w:name="OLE_LINK8"/>
      <w:bookmarkStart w:id="4" w:name="OLE_LINK9"/>
      <w:bookmarkStart w:id="5" w:name="_Toc487641997"/>
      <w:r w:rsidRPr="005F7E74">
        <w:rPr>
          <w:rFonts w:ascii="Arial" w:eastAsia="Times New Roman" w:hAnsi="Arial" w:cs="Arial"/>
          <w:b/>
          <w:color w:val="008000"/>
          <w:lang w:eastAsia="es-ES"/>
        </w:rPr>
        <w:t xml:space="preserve">Figura </w:t>
      </w:r>
      <w:r w:rsidRPr="005F7E74">
        <w:rPr>
          <w:rFonts w:ascii="Arial" w:eastAsia="Times New Roman" w:hAnsi="Arial" w:cs="Arial"/>
          <w:b/>
          <w:color w:val="008000"/>
          <w:lang w:eastAsia="es-ES"/>
        </w:rPr>
        <w:fldChar w:fldCharType="begin"/>
      </w:r>
      <w:r w:rsidRPr="005F7E74">
        <w:rPr>
          <w:rFonts w:ascii="Arial" w:eastAsia="Times New Roman" w:hAnsi="Arial" w:cs="Arial"/>
          <w:b/>
          <w:color w:val="008000"/>
          <w:lang w:eastAsia="es-ES"/>
        </w:rPr>
        <w:instrText xml:space="preserve"> SEQ Figura \* ARABIC </w:instrText>
      </w:r>
      <w:r w:rsidRPr="005F7E74">
        <w:rPr>
          <w:rFonts w:ascii="Arial" w:eastAsia="Times New Roman" w:hAnsi="Arial" w:cs="Arial"/>
          <w:b/>
          <w:color w:val="008000"/>
          <w:lang w:eastAsia="es-ES"/>
        </w:rPr>
        <w:fldChar w:fldCharType="separate"/>
      </w:r>
      <w:r w:rsidRPr="005F7E74">
        <w:rPr>
          <w:rFonts w:ascii="Arial" w:eastAsia="Times New Roman" w:hAnsi="Arial" w:cs="Arial"/>
          <w:b/>
          <w:noProof/>
          <w:color w:val="008000"/>
          <w:lang w:eastAsia="es-ES"/>
        </w:rPr>
        <w:t>12</w:t>
      </w:r>
      <w:r w:rsidRPr="005F7E74">
        <w:rPr>
          <w:rFonts w:ascii="Arial" w:eastAsia="Times New Roman" w:hAnsi="Arial" w:cs="Arial"/>
          <w:b/>
          <w:color w:val="008000"/>
          <w:lang w:eastAsia="es-ES"/>
        </w:rPr>
        <w:fldChar w:fldCharType="end"/>
      </w:r>
      <w:r w:rsidRPr="005F7E74">
        <w:rPr>
          <w:rFonts w:ascii="Arial" w:eastAsia="Times New Roman" w:hAnsi="Arial" w:cs="Arial"/>
          <w:b/>
          <w:color w:val="008000"/>
          <w:lang w:eastAsia="es-ES"/>
        </w:rPr>
        <w:t xml:space="preserve">. </w:t>
      </w:r>
      <w:r w:rsidRPr="005F7E74">
        <w:rPr>
          <w:rFonts w:ascii="Arial" w:eastAsia="Times New Roman" w:hAnsi="Arial" w:cs="Arial"/>
          <w:lang w:eastAsia="es-ES"/>
        </w:rPr>
        <w:t>Distribución de días buenos, regulares y malos de PM</w:t>
      </w:r>
      <w:r w:rsidRPr="005F7E74">
        <w:rPr>
          <w:rFonts w:ascii="Arial" w:eastAsia="Times New Roman" w:hAnsi="Arial" w:cs="Arial"/>
          <w:vertAlign w:val="subscript"/>
          <w:lang w:eastAsia="es-ES"/>
        </w:rPr>
        <w:t>10</w:t>
      </w:r>
      <w:bookmarkEnd w:id="1"/>
      <w:r w:rsidRPr="005F7E74">
        <w:rPr>
          <w:rFonts w:ascii="Arial" w:eastAsia="Times New Roman" w:hAnsi="Arial" w:cs="Arial"/>
          <w:vertAlign w:val="subscript"/>
          <w:lang w:eastAsia="es-ES"/>
        </w:rPr>
        <w:t>.</w:t>
      </w:r>
      <w:bookmarkEnd w:id="2"/>
      <w:bookmarkEnd w:id="3"/>
      <w:bookmarkEnd w:id="4"/>
      <w:bookmarkEnd w:id="5"/>
    </w:p>
    <w:p w:rsidR="005F7E74" w:rsidRPr="005F7E74" w:rsidRDefault="005F7E74" w:rsidP="005F7E74">
      <w:pPr>
        <w:tabs>
          <w:tab w:val="left" w:pos="709"/>
        </w:tabs>
        <w:spacing w:after="0" w:line="240" w:lineRule="auto"/>
        <w:jc w:val="both"/>
        <w:rPr>
          <w:rFonts w:ascii="Arial" w:eastAsia="Times New Roman" w:hAnsi="Arial" w:cs="Arial"/>
          <w:b/>
          <w:sz w:val="18"/>
          <w:szCs w:val="24"/>
          <w:lang w:eastAsia="es-ES"/>
        </w:rPr>
      </w:pPr>
    </w:p>
    <w:p w:rsidR="005F7E74" w:rsidRPr="005F7E74" w:rsidRDefault="005F7E74" w:rsidP="005F7E74">
      <w:pPr>
        <w:tabs>
          <w:tab w:val="left" w:pos="709"/>
        </w:tabs>
        <w:spacing w:after="0" w:line="240" w:lineRule="auto"/>
        <w:jc w:val="center"/>
        <w:rPr>
          <w:rFonts w:ascii="Arial" w:eastAsia="Times New Roman" w:hAnsi="Arial" w:cs="Arial"/>
          <w:color w:val="000000" w:themeColor="text1"/>
          <w:sz w:val="24"/>
          <w:szCs w:val="24"/>
          <w:lang w:eastAsia="es-ES"/>
        </w:rPr>
      </w:pPr>
      <w:r w:rsidRPr="005F7E74">
        <w:rPr>
          <w:rFonts w:ascii="Arial" w:eastAsia="Times New Roman" w:hAnsi="Arial" w:cs="Times New Roman"/>
          <w:noProof/>
          <w:sz w:val="24"/>
          <w:szCs w:val="24"/>
          <w:lang w:eastAsia="es-MX"/>
        </w:rPr>
        <w:drawing>
          <wp:inline distT="0" distB="0" distL="0" distR="0" wp14:anchorId="7DFE2FF7" wp14:editId="1B831630">
            <wp:extent cx="5612130" cy="2339340"/>
            <wp:effectExtent l="0" t="0" r="26670" b="2286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F7E74" w:rsidRPr="005F7E74" w:rsidRDefault="005F7E74" w:rsidP="005F7E74">
      <w:pPr>
        <w:tabs>
          <w:tab w:val="left" w:pos="709"/>
        </w:tabs>
        <w:spacing w:after="0" w:line="240" w:lineRule="auto"/>
        <w:rPr>
          <w:rFonts w:ascii="Arial" w:eastAsia="Times New Roman" w:hAnsi="Arial" w:cs="Arial"/>
          <w:sz w:val="18"/>
          <w:szCs w:val="24"/>
          <w:lang w:eastAsia="es-ES"/>
        </w:rPr>
      </w:pPr>
      <w:bookmarkStart w:id="6" w:name="OLE_LINK58"/>
      <w:bookmarkStart w:id="7" w:name="OLE_LINK59"/>
      <w:bookmarkStart w:id="8" w:name="OLE_LINK60"/>
      <w:bookmarkStart w:id="9" w:name="OLE_LINK61"/>
      <w:bookmarkStart w:id="10" w:name="OLE_LINK62"/>
      <w:bookmarkStart w:id="11" w:name="OLE_LINK63"/>
      <w:bookmarkStart w:id="12" w:name="OLE_LINK64"/>
      <w:r w:rsidRPr="005F7E74">
        <w:rPr>
          <w:rFonts w:ascii="Arial" w:eastAsia="Times New Roman" w:hAnsi="Arial" w:cs="Arial"/>
          <w:b/>
          <w:sz w:val="18"/>
          <w:szCs w:val="24"/>
          <w:lang w:eastAsia="es-ES"/>
        </w:rPr>
        <w:t>Fuente</w:t>
      </w:r>
      <w:r w:rsidRPr="005F7E74">
        <w:rPr>
          <w:rFonts w:ascii="Arial" w:eastAsia="Times New Roman" w:hAnsi="Arial" w:cs="Arial"/>
          <w:b/>
          <w:sz w:val="18"/>
          <w:szCs w:val="18"/>
          <w:lang w:eastAsia="es-ES"/>
        </w:rPr>
        <w:t xml:space="preserve">: </w:t>
      </w:r>
      <w:r w:rsidRPr="005F7E74">
        <w:rPr>
          <w:rFonts w:ascii="Arial" w:hAnsi="Arial" w:cs="Arial"/>
          <w:sz w:val="18"/>
          <w:szCs w:val="18"/>
        </w:rPr>
        <w:t>Elaboración propia con datos de SEMA</w:t>
      </w:r>
      <w:r w:rsidRPr="005F7E74">
        <w:rPr>
          <w:rFonts w:ascii="Arial" w:eastAsia="Times New Roman" w:hAnsi="Arial" w:cs="Arial"/>
          <w:sz w:val="18"/>
          <w:szCs w:val="24"/>
          <w:lang w:eastAsia="es-ES"/>
        </w:rPr>
        <w:t>.</w:t>
      </w:r>
    </w:p>
    <w:p w:rsidR="005F7E74" w:rsidRPr="005F7E74" w:rsidRDefault="005F7E74" w:rsidP="005F7E74">
      <w:pPr>
        <w:tabs>
          <w:tab w:val="left" w:pos="709"/>
        </w:tabs>
        <w:spacing w:after="0" w:line="240" w:lineRule="auto"/>
        <w:rPr>
          <w:rFonts w:ascii="Arial" w:eastAsia="Times New Roman" w:hAnsi="Arial" w:cs="Arial"/>
          <w:sz w:val="18"/>
          <w:szCs w:val="24"/>
          <w:lang w:eastAsia="es-ES"/>
        </w:rPr>
      </w:pPr>
      <w:r w:rsidRPr="005F7E74">
        <w:rPr>
          <w:rFonts w:ascii="Arial" w:eastAsia="Times New Roman" w:hAnsi="Arial" w:cs="Arial"/>
          <w:sz w:val="18"/>
          <w:szCs w:val="24"/>
          <w:lang w:eastAsia="es-ES"/>
        </w:rPr>
        <w:t>DI = datos insuficientes, SM = sin medición</w:t>
      </w:r>
    </w:p>
    <w:bookmarkEnd w:id="6"/>
    <w:bookmarkEnd w:id="7"/>
    <w:bookmarkEnd w:id="8"/>
    <w:bookmarkEnd w:id="9"/>
    <w:bookmarkEnd w:id="10"/>
    <w:bookmarkEnd w:id="11"/>
    <w:bookmarkEnd w:id="12"/>
    <w:p w:rsidR="005F7E74" w:rsidRPr="005F7E74" w:rsidRDefault="005F7E74" w:rsidP="005F7E74">
      <w:pPr>
        <w:spacing w:after="0" w:line="240" w:lineRule="auto"/>
        <w:jc w:val="both"/>
        <w:rPr>
          <w:rFonts w:ascii="Arial" w:eastAsia="Times New Roman" w:hAnsi="Arial" w:cs="Arial"/>
          <w:color w:val="7F7F7F" w:themeColor="text1" w:themeTint="80"/>
          <w:sz w:val="24"/>
          <w:szCs w:val="24"/>
          <w:lang w:eastAsia="es-ES"/>
        </w:rPr>
      </w:pPr>
    </w:p>
    <w:p w:rsidR="005F7E74" w:rsidRPr="005F7E74" w:rsidRDefault="005F7E74" w:rsidP="005F7E74">
      <w:pPr>
        <w:spacing w:after="0"/>
        <w:ind w:firstLine="708"/>
        <w:jc w:val="both"/>
        <w:rPr>
          <w:rFonts w:ascii="Arial" w:eastAsia="Times New Roman" w:hAnsi="Arial" w:cs="Arial"/>
          <w:sz w:val="24"/>
          <w:szCs w:val="24"/>
          <w:lang w:eastAsia="es-ES"/>
        </w:rPr>
      </w:pPr>
      <w:r w:rsidRPr="005F7E74">
        <w:rPr>
          <w:rFonts w:ascii="Arial" w:eastAsia="Times New Roman" w:hAnsi="Arial" w:cs="Arial"/>
          <w:sz w:val="24"/>
          <w:szCs w:val="24"/>
          <w:lang w:eastAsia="es-ES"/>
        </w:rPr>
        <w:t>Con respecto de las PM</w:t>
      </w:r>
      <w:r w:rsidRPr="005F7E74">
        <w:rPr>
          <w:rFonts w:ascii="Arial" w:eastAsia="Times New Roman" w:hAnsi="Arial" w:cs="Arial"/>
          <w:sz w:val="24"/>
          <w:szCs w:val="24"/>
          <w:vertAlign w:val="subscript"/>
          <w:lang w:eastAsia="es-ES"/>
        </w:rPr>
        <w:t>2.5</w:t>
      </w:r>
      <w:r w:rsidRPr="005F7E74">
        <w:rPr>
          <w:rFonts w:ascii="Arial" w:eastAsia="Times New Roman" w:hAnsi="Arial" w:cs="Arial"/>
          <w:sz w:val="24"/>
          <w:szCs w:val="24"/>
          <w:lang w:eastAsia="es-ES"/>
        </w:rPr>
        <w:t xml:space="preserve"> (Figura 13) se aprecian muy pocos días con mala calidad del aire: 1 en Torreón en 2014, 1 en Saltillo y 2 Monclova en 2016. Sin embargo, hay que considerar que se registró un número importante de días en cada uno de los años en los que no fue posible calificar la calidad del aire por datos insuficientes que van de alrededor del 16 % al 40%.</w:t>
      </w:r>
    </w:p>
    <w:p w:rsidR="005F7E74" w:rsidRPr="005F7E74" w:rsidRDefault="005F7E74" w:rsidP="005F7E74">
      <w:pPr>
        <w:spacing w:after="0" w:line="240" w:lineRule="auto"/>
        <w:jc w:val="both"/>
        <w:rPr>
          <w:rFonts w:ascii="Arial" w:eastAsia="Times New Roman" w:hAnsi="Arial" w:cs="Arial"/>
          <w:sz w:val="24"/>
          <w:szCs w:val="24"/>
          <w:lang w:eastAsia="es-ES"/>
        </w:rPr>
      </w:pPr>
    </w:p>
    <w:p w:rsidR="005F7E74" w:rsidRPr="005F7E74" w:rsidRDefault="005F7E74" w:rsidP="005F7E74">
      <w:pPr>
        <w:spacing w:after="0" w:line="240" w:lineRule="auto"/>
        <w:jc w:val="both"/>
        <w:rPr>
          <w:rFonts w:ascii="Arial" w:eastAsia="Times New Roman" w:hAnsi="Arial" w:cs="Arial"/>
          <w:sz w:val="24"/>
          <w:szCs w:val="24"/>
          <w:lang w:eastAsia="es-ES"/>
        </w:rPr>
      </w:pPr>
    </w:p>
    <w:p w:rsidR="005F7E74" w:rsidRPr="005F7E74" w:rsidRDefault="005F7E74" w:rsidP="005F7E74">
      <w:pPr>
        <w:spacing w:before="60" w:after="60" w:line="23" w:lineRule="atLeast"/>
        <w:rPr>
          <w:rFonts w:ascii="Arial" w:eastAsia="Times New Roman" w:hAnsi="Arial" w:cs="Arial"/>
          <w:b/>
          <w:color w:val="943634" w:themeColor="accent2" w:themeShade="BF"/>
          <w:lang w:eastAsia="es-ES"/>
        </w:rPr>
      </w:pPr>
      <w:bookmarkStart w:id="13" w:name="_Toc487641998"/>
      <w:r w:rsidRPr="005F7E74">
        <w:rPr>
          <w:rFonts w:ascii="Arial" w:eastAsia="Times New Roman" w:hAnsi="Arial" w:cs="Arial"/>
          <w:b/>
          <w:color w:val="008000"/>
          <w:lang w:eastAsia="es-ES"/>
        </w:rPr>
        <w:t xml:space="preserve">Figura </w:t>
      </w:r>
      <w:r w:rsidRPr="005F7E74">
        <w:rPr>
          <w:rFonts w:ascii="Arial" w:eastAsia="Times New Roman" w:hAnsi="Arial" w:cs="Arial"/>
          <w:b/>
          <w:color w:val="008000"/>
          <w:lang w:eastAsia="es-ES"/>
        </w:rPr>
        <w:fldChar w:fldCharType="begin"/>
      </w:r>
      <w:r w:rsidRPr="005F7E74">
        <w:rPr>
          <w:rFonts w:ascii="Arial" w:eastAsia="Times New Roman" w:hAnsi="Arial" w:cs="Arial"/>
          <w:b/>
          <w:color w:val="008000"/>
          <w:lang w:eastAsia="es-ES"/>
        </w:rPr>
        <w:instrText xml:space="preserve"> SEQ Figura \* ARABIC </w:instrText>
      </w:r>
      <w:r w:rsidRPr="005F7E74">
        <w:rPr>
          <w:rFonts w:ascii="Arial" w:eastAsia="Times New Roman" w:hAnsi="Arial" w:cs="Arial"/>
          <w:b/>
          <w:color w:val="008000"/>
          <w:lang w:eastAsia="es-ES"/>
        </w:rPr>
        <w:fldChar w:fldCharType="separate"/>
      </w:r>
      <w:r w:rsidRPr="005F7E74">
        <w:rPr>
          <w:rFonts w:ascii="Arial" w:eastAsia="Times New Roman" w:hAnsi="Arial" w:cs="Arial"/>
          <w:b/>
          <w:noProof/>
          <w:color w:val="008000"/>
          <w:lang w:eastAsia="es-ES"/>
        </w:rPr>
        <w:t>13</w:t>
      </w:r>
      <w:r w:rsidRPr="005F7E74">
        <w:rPr>
          <w:rFonts w:ascii="Arial" w:eastAsia="Times New Roman" w:hAnsi="Arial" w:cs="Arial"/>
          <w:b/>
          <w:color w:val="008000"/>
          <w:lang w:eastAsia="es-ES"/>
        </w:rPr>
        <w:fldChar w:fldCharType="end"/>
      </w:r>
      <w:r w:rsidRPr="005F7E74">
        <w:rPr>
          <w:rFonts w:ascii="Arial" w:eastAsia="Times New Roman" w:hAnsi="Arial" w:cs="Arial"/>
          <w:b/>
          <w:color w:val="008000"/>
          <w:lang w:eastAsia="es-ES"/>
        </w:rPr>
        <w:t xml:space="preserve">. </w:t>
      </w:r>
      <w:r w:rsidRPr="005F7E74">
        <w:rPr>
          <w:rFonts w:ascii="Arial" w:eastAsia="Times New Roman" w:hAnsi="Arial" w:cs="Arial"/>
          <w:lang w:eastAsia="es-ES"/>
        </w:rPr>
        <w:t>Distribución de días buenos, regulares y malos de PM</w:t>
      </w:r>
      <w:r w:rsidRPr="005F7E74">
        <w:rPr>
          <w:rFonts w:ascii="Arial" w:eastAsia="Times New Roman" w:hAnsi="Arial" w:cs="Arial"/>
          <w:vertAlign w:val="subscript"/>
          <w:lang w:eastAsia="es-ES"/>
        </w:rPr>
        <w:t>2.5</w:t>
      </w:r>
      <w:r w:rsidRPr="005F7E74">
        <w:rPr>
          <w:rFonts w:ascii="Arial" w:eastAsia="Times New Roman" w:hAnsi="Arial" w:cs="Arial"/>
          <w:lang w:eastAsia="es-ES"/>
        </w:rPr>
        <w:t>.</w:t>
      </w:r>
      <w:bookmarkEnd w:id="13"/>
    </w:p>
    <w:p w:rsidR="005F7E74" w:rsidRPr="005F7E74" w:rsidRDefault="005F7E74" w:rsidP="005F7E74">
      <w:pPr>
        <w:spacing w:after="0" w:line="240" w:lineRule="auto"/>
        <w:jc w:val="both"/>
        <w:rPr>
          <w:rFonts w:ascii="Arial" w:eastAsia="Times New Roman" w:hAnsi="Arial" w:cs="Arial"/>
          <w:sz w:val="24"/>
          <w:szCs w:val="24"/>
          <w:lang w:eastAsia="es-ES"/>
        </w:rPr>
      </w:pPr>
    </w:p>
    <w:p w:rsidR="005F7E74" w:rsidRPr="005F7E74" w:rsidRDefault="005F7E74" w:rsidP="005F7E74">
      <w:pPr>
        <w:spacing w:after="0" w:line="240" w:lineRule="auto"/>
        <w:jc w:val="center"/>
        <w:rPr>
          <w:rFonts w:ascii="Arial" w:eastAsia="Times New Roman" w:hAnsi="Arial" w:cs="Arial"/>
          <w:sz w:val="24"/>
          <w:szCs w:val="24"/>
          <w:lang w:eastAsia="es-ES"/>
        </w:rPr>
      </w:pPr>
      <w:r w:rsidRPr="005F7E74">
        <w:rPr>
          <w:rFonts w:ascii="Arial" w:eastAsia="Times New Roman" w:hAnsi="Arial" w:cs="Times New Roman"/>
          <w:noProof/>
          <w:sz w:val="24"/>
          <w:szCs w:val="24"/>
          <w:lang w:eastAsia="es-MX"/>
        </w:rPr>
        <w:drawing>
          <wp:inline distT="0" distB="0" distL="0" distR="0" wp14:anchorId="0EF6E1DE" wp14:editId="3043BE7E">
            <wp:extent cx="5394960" cy="2400300"/>
            <wp:effectExtent l="0" t="0" r="15240" b="1270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F7E74" w:rsidRPr="005F7E74" w:rsidRDefault="005F7E74" w:rsidP="005F7E74">
      <w:pPr>
        <w:tabs>
          <w:tab w:val="left" w:pos="709"/>
        </w:tabs>
        <w:spacing w:after="0" w:line="240" w:lineRule="auto"/>
        <w:rPr>
          <w:rFonts w:ascii="Arial" w:eastAsia="Times New Roman" w:hAnsi="Arial" w:cs="Arial"/>
          <w:sz w:val="18"/>
          <w:szCs w:val="24"/>
          <w:lang w:eastAsia="es-ES"/>
        </w:rPr>
      </w:pPr>
      <w:r w:rsidRPr="005F7E74">
        <w:rPr>
          <w:rFonts w:ascii="Arial" w:eastAsia="Times New Roman" w:hAnsi="Arial" w:cs="Arial"/>
          <w:b/>
          <w:sz w:val="18"/>
          <w:szCs w:val="24"/>
          <w:lang w:eastAsia="es-ES"/>
        </w:rPr>
        <w:t>Fuente</w:t>
      </w:r>
      <w:r w:rsidRPr="005F7E74">
        <w:rPr>
          <w:rFonts w:ascii="Arial" w:eastAsia="Times New Roman" w:hAnsi="Arial" w:cs="Arial"/>
          <w:b/>
          <w:sz w:val="18"/>
          <w:szCs w:val="18"/>
          <w:lang w:eastAsia="es-ES"/>
        </w:rPr>
        <w:t xml:space="preserve">: </w:t>
      </w:r>
      <w:r w:rsidRPr="005F7E74">
        <w:rPr>
          <w:rFonts w:ascii="Arial" w:hAnsi="Arial" w:cs="Arial"/>
          <w:sz w:val="18"/>
          <w:szCs w:val="18"/>
        </w:rPr>
        <w:t>Elaboración propia con datos de SEMA</w:t>
      </w:r>
      <w:r w:rsidRPr="005F7E74">
        <w:rPr>
          <w:rFonts w:ascii="Arial" w:eastAsia="Times New Roman" w:hAnsi="Arial" w:cs="Arial"/>
          <w:sz w:val="18"/>
          <w:szCs w:val="24"/>
          <w:lang w:eastAsia="es-ES"/>
        </w:rPr>
        <w:t>.</w:t>
      </w:r>
    </w:p>
    <w:p w:rsidR="005F7E74" w:rsidRPr="005F7E74" w:rsidRDefault="005F7E74" w:rsidP="005F7E74">
      <w:pPr>
        <w:tabs>
          <w:tab w:val="left" w:pos="709"/>
        </w:tabs>
        <w:spacing w:after="0" w:line="240" w:lineRule="auto"/>
        <w:rPr>
          <w:rFonts w:ascii="Arial" w:eastAsia="Times New Roman" w:hAnsi="Arial" w:cs="Arial"/>
          <w:sz w:val="18"/>
          <w:szCs w:val="24"/>
          <w:lang w:eastAsia="es-ES"/>
        </w:rPr>
      </w:pPr>
      <w:r w:rsidRPr="005F7E74">
        <w:rPr>
          <w:rFonts w:ascii="Arial" w:eastAsia="Times New Roman" w:hAnsi="Arial" w:cs="Arial"/>
          <w:sz w:val="18"/>
          <w:szCs w:val="24"/>
          <w:lang w:eastAsia="es-ES"/>
        </w:rPr>
        <w:t>DI = datos insuficientes, SM = sin medición</w:t>
      </w:r>
    </w:p>
    <w:p w:rsidR="005F7E74" w:rsidRPr="005F7E74" w:rsidRDefault="005F7E74" w:rsidP="005F7E74">
      <w:pPr>
        <w:spacing w:after="0" w:line="240" w:lineRule="auto"/>
        <w:jc w:val="both"/>
        <w:rPr>
          <w:rFonts w:ascii="Arial" w:eastAsia="Times New Roman" w:hAnsi="Arial" w:cs="Arial"/>
          <w:sz w:val="24"/>
          <w:szCs w:val="24"/>
          <w:lang w:eastAsia="es-ES"/>
        </w:rPr>
      </w:pPr>
    </w:p>
    <w:p w:rsidR="005F7E74" w:rsidRPr="005F7E74" w:rsidRDefault="005F7E74" w:rsidP="005F7E74">
      <w:pPr>
        <w:spacing w:after="0"/>
        <w:ind w:firstLine="708"/>
        <w:jc w:val="both"/>
        <w:rPr>
          <w:rFonts w:ascii="Arial" w:eastAsia="Times New Roman" w:hAnsi="Arial" w:cs="Arial"/>
          <w:sz w:val="24"/>
          <w:szCs w:val="24"/>
          <w:lang w:eastAsia="es-ES"/>
        </w:rPr>
      </w:pPr>
      <w:r w:rsidRPr="005F7E74">
        <w:rPr>
          <w:rFonts w:ascii="Arial" w:eastAsia="Times New Roman" w:hAnsi="Arial" w:cs="Arial"/>
          <w:sz w:val="24"/>
          <w:szCs w:val="24"/>
          <w:lang w:eastAsia="es-ES"/>
        </w:rPr>
        <w:t>En relación al O</w:t>
      </w:r>
      <w:r w:rsidRPr="005F7E74">
        <w:rPr>
          <w:rFonts w:ascii="Arial" w:eastAsia="Times New Roman" w:hAnsi="Arial" w:cs="Arial"/>
          <w:sz w:val="24"/>
          <w:szCs w:val="24"/>
          <w:vertAlign w:val="subscript"/>
          <w:lang w:eastAsia="es-ES"/>
        </w:rPr>
        <w:t>3</w:t>
      </w:r>
      <w:r w:rsidRPr="005F7E74">
        <w:rPr>
          <w:rFonts w:ascii="Arial" w:eastAsia="Times New Roman" w:hAnsi="Arial" w:cs="Arial"/>
          <w:sz w:val="24"/>
          <w:szCs w:val="24"/>
          <w:lang w:eastAsia="es-ES"/>
        </w:rPr>
        <w:t xml:space="preserve"> (Figura 14), se presentaron días con calidad del aire mala en Torreón en los años 2014 y 2015, y en Saltillo y Monclova en 2016. Saltillo es el municipio que más días en rojo registró con un total 78, registró además 157 días en amarillo, lo anterior es de destacar ya que de no establecerse acciones que disminuyan las concentraciones del contaminante, pudieran pasar de días con un calificativo de la calidad del aire regular a malo en los siguientes años.</w:t>
      </w:r>
    </w:p>
    <w:p w:rsidR="005F7E74" w:rsidRPr="005F7E74" w:rsidRDefault="005F7E74" w:rsidP="005F7E74">
      <w:pPr>
        <w:spacing w:after="0" w:line="240" w:lineRule="auto"/>
        <w:jc w:val="both"/>
        <w:rPr>
          <w:rFonts w:ascii="Arial" w:eastAsia="Times New Roman" w:hAnsi="Arial" w:cs="Arial"/>
          <w:sz w:val="24"/>
          <w:szCs w:val="24"/>
          <w:lang w:eastAsia="es-ES"/>
        </w:rPr>
      </w:pPr>
    </w:p>
    <w:p w:rsidR="005F7E74" w:rsidRPr="005F7E74" w:rsidRDefault="005F7E74" w:rsidP="005F7E74">
      <w:pPr>
        <w:spacing w:after="0" w:line="240" w:lineRule="auto"/>
        <w:jc w:val="both"/>
        <w:rPr>
          <w:rFonts w:ascii="Arial" w:eastAsia="Times New Roman" w:hAnsi="Arial" w:cs="Arial"/>
          <w:sz w:val="24"/>
          <w:szCs w:val="24"/>
          <w:lang w:eastAsia="es-ES"/>
        </w:rPr>
      </w:pPr>
      <w:bookmarkStart w:id="14" w:name="_Toc487641999"/>
      <w:r w:rsidRPr="005F7E74">
        <w:rPr>
          <w:rFonts w:ascii="Arial" w:eastAsia="Times New Roman" w:hAnsi="Arial" w:cs="Arial"/>
          <w:b/>
          <w:color w:val="008000"/>
          <w:lang w:eastAsia="es-ES"/>
        </w:rPr>
        <w:t xml:space="preserve">Figura </w:t>
      </w:r>
      <w:r w:rsidRPr="005F7E74">
        <w:rPr>
          <w:rFonts w:ascii="Arial" w:eastAsia="Times New Roman" w:hAnsi="Arial" w:cs="Arial"/>
          <w:b/>
          <w:color w:val="008000"/>
          <w:lang w:eastAsia="es-ES"/>
        </w:rPr>
        <w:fldChar w:fldCharType="begin"/>
      </w:r>
      <w:r w:rsidRPr="005F7E74">
        <w:rPr>
          <w:rFonts w:ascii="Arial" w:eastAsia="Times New Roman" w:hAnsi="Arial" w:cs="Arial"/>
          <w:b/>
          <w:color w:val="008000"/>
          <w:lang w:eastAsia="es-ES"/>
        </w:rPr>
        <w:instrText xml:space="preserve"> SEQ Figura \* ARABIC </w:instrText>
      </w:r>
      <w:r w:rsidRPr="005F7E74">
        <w:rPr>
          <w:rFonts w:ascii="Arial" w:eastAsia="Times New Roman" w:hAnsi="Arial" w:cs="Arial"/>
          <w:b/>
          <w:color w:val="008000"/>
          <w:lang w:eastAsia="es-ES"/>
        </w:rPr>
        <w:fldChar w:fldCharType="separate"/>
      </w:r>
      <w:r w:rsidRPr="005F7E74">
        <w:rPr>
          <w:rFonts w:ascii="Arial" w:eastAsia="Times New Roman" w:hAnsi="Arial" w:cs="Arial"/>
          <w:b/>
          <w:noProof/>
          <w:color w:val="008000"/>
          <w:lang w:eastAsia="es-ES"/>
        </w:rPr>
        <w:t>14</w:t>
      </w:r>
      <w:r w:rsidRPr="005F7E74">
        <w:rPr>
          <w:rFonts w:ascii="Arial" w:eastAsia="Times New Roman" w:hAnsi="Arial" w:cs="Arial"/>
          <w:b/>
          <w:color w:val="008000"/>
          <w:lang w:eastAsia="es-ES"/>
        </w:rPr>
        <w:fldChar w:fldCharType="end"/>
      </w:r>
      <w:r w:rsidRPr="005F7E74">
        <w:rPr>
          <w:rFonts w:ascii="Arial" w:eastAsia="Times New Roman" w:hAnsi="Arial" w:cs="Arial"/>
          <w:b/>
          <w:color w:val="008000"/>
          <w:lang w:eastAsia="es-ES"/>
        </w:rPr>
        <w:t xml:space="preserve">. </w:t>
      </w:r>
      <w:r w:rsidRPr="005F7E74">
        <w:rPr>
          <w:rFonts w:ascii="Arial" w:eastAsia="Times New Roman" w:hAnsi="Arial" w:cs="Arial"/>
          <w:lang w:eastAsia="es-ES"/>
        </w:rPr>
        <w:t>Distribución de días buenos, regulares y malos de O</w:t>
      </w:r>
      <w:r w:rsidRPr="005F7E74">
        <w:rPr>
          <w:rFonts w:ascii="Arial" w:eastAsia="Times New Roman" w:hAnsi="Arial" w:cs="Arial"/>
          <w:vertAlign w:val="subscript"/>
          <w:lang w:eastAsia="es-ES"/>
        </w:rPr>
        <w:t>3</w:t>
      </w:r>
      <w:r w:rsidRPr="005F7E74">
        <w:rPr>
          <w:rFonts w:ascii="Arial" w:eastAsia="Times New Roman" w:hAnsi="Arial" w:cs="Arial"/>
          <w:lang w:eastAsia="es-ES"/>
        </w:rPr>
        <w:t>.</w:t>
      </w:r>
      <w:bookmarkEnd w:id="14"/>
    </w:p>
    <w:p w:rsidR="005F7E74" w:rsidRPr="005F7E74" w:rsidRDefault="005F7E74" w:rsidP="005F7E74">
      <w:pPr>
        <w:spacing w:after="0" w:line="240" w:lineRule="auto"/>
        <w:jc w:val="both"/>
        <w:rPr>
          <w:rFonts w:ascii="Arial" w:eastAsia="Times New Roman" w:hAnsi="Arial" w:cs="Arial"/>
          <w:sz w:val="24"/>
          <w:szCs w:val="24"/>
          <w:lang w:eastAsia="es-ES"/>
        </w:rPr>
      </w:pPr>
    </w:p>
    <w:p w:rsidR="005F7E74" w:rsidRPr="005F7E74" w:rsidRDefault="005F7E74" w:rsidP="005F7E74">
      <w:pPr>
        <w:spacing w:after="0" w:line="240" w:lineRule="auto"/>
        <w:jc w:val="center"/>
        <w:rPr>
          <w:rFonts w:ascii="Arial" w:eastAsia="Times New Roman" w:hAnsi="Arial" w:cs="Arial"/>
          <w:sz w:val="24"/>
          <w:szCs w:val="24"/>
          <w:lang w:eastAsia="es-ES"/>
        </w:rPr>
      </w:pPr>
      <w:r w:rsidRPr="005F7E74">
        <w:rPr>
          <w:rFonts w:ascii="Arial" w:eastAsia="Times New Roman" w:hAnsi="Arial" w:cs="Times New Roman"/>
          <w:noProof/>
          <w:sz w:val="24"/>
          <w:szCs w:val="24"/>
          <w:lang w:eastAsia="es-MX"/>
        </w:rPr>
        <w:drawing>
          <wp:inline distT="0" distB="0" distL="0" distR="0" wp14:anchorId="31EFAE22" wp14:editId="52F81755">
            <wp:extent cx="5612130" cy="2524760"/>
            <wp:effectExtent l="0" t="0" r="26670" b="1524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F7E74" w:rsidRPr="005F7E74" w:rsidRDefault="005F7E74" w:rsidP="005F7E74">
      <w:pPr>
        <w:tabs>
          <w:tab w:val="left" w:pos="709"/>
        </w:tabs>
        <w:spacing w:after="0" w:line="240" w:lineRule="auto"/>
        <w:rPr>
          <w:rFonts w:ascii="Arial" w:eastAsia="Times New Roman" w:hAnsi="Arial" w:cs="Arial"/>
          <w:sz w:val="18"/>
          <w:szCs w:val="24"/>
          <w:lang w:eastAsia="es-ES"/>
        </w:rPr>
      </w:pPr>
      <w:r w:rsidRPr="005F7E74">
        <w:rPr>
          <w:rFonts w:ascii="Arial" w:eastAsia="Times New Roman" w:hAnsi="Arial" w:cs="Arial"/>
          <w:b/>
          <w:sz w:val="18"/>
          <w:szCs w:val="24"/>
          <w:lang w:eastAsia="es-ES"/>
        </w:rPr>
        <w:t>Fuente</w:t>
      </w:r>
      <w:r w:rsidRPr="005F7E74">
        <w:rPr>
          <w:rFonts w:ascii="Arial" w:eastAsia="Times New Roman" w:hAnsi="Arial" w:cs="Arial"/>
          <w:b/>
          <w:sz w:val="18"/>
          <w:szCs w:val="18"/>
          <w:lang w:eastAsia="es-ES"/>
        </w:rPr>
        <w:t xml:space="preserve">: </w:t>
      </w:r>
      <w:r w:rsidRPr="005F7E74">
        <w:rPr>
          <w:rFonts w:ascii="Arial" w:hAnsi="Arial" w:cs="Arial"/>
          <w:sz w:val="18"/>
          <w:szCs w:val="18"/>
        </w:rPr>
        <w:t>Elaboración propia con datos de SEMA</w:t>
      </w:r>
      <w:r w:rsidRPr="005F7E74">
        <w:rPr>
          <w:rFonts w:ascii="Arial" w:eastAsia="Times New Roman" w:hAnsi="Arial" w:cs="Arial"/>
          <w:sz w:val="18"/>
          <w:szCs w:val="24"/>
          <w:lang w:eastAsia="es-ES"/>
        </w:rPr>
        <w:t>.</w:t>
      </w:r>
    </w:p>
    <w:p w:rsidR="005F7E74" w:rsidRPr="005F7E74" w:rsidRDefault="005F7E74" w:rsidP="005F7E74">
      <w:pPr>
        <w:tabs>
          <w:tab w:val="left" w:pos="709"/>
        </w:tabs>
        <w:spacing w:after="0" w:line="240" w:lineRule="auto"/>
        <w:rPr>
          <w:rFonts w:ascii="Arial" w:eastAsia="Times New Roman" w:hAnsi="Arial" w:cs="Arial"/>
          <w:sz w:val="18"/>
          <w:szCs w:val="24"/>
          <w:lang w:eastAsia="es-ES"/>
        </w:rPr>
      </w:pPr>
      <w:r w:rsidRPr="005F7E74">
        <w:rPr>
          <w:rFonts w:ascii="Arial" w:eastAsia="Times New Roman" w:hAnsi="Arial" w:cs="Arial"/>
          <w:sz w:val="18"/>
          <w:szCs w:val="24"/>
          <w:lang w:eastAsia="es-ES"/>
        </w:rPr>
        <w:t>DI = datos insuficientes, SM = sin medición</w:t>
      </w:r>
    </w:p>
    <w:p w:rsidR="005F7E74" w:rsidRPr="005F7E74" w:rsidRDefault="005F7E74" w:rsidP="005F7E74">
      <w:pPr>
        <w:tabs>
          <w:tab w:val="left" w:pos="709"/>
        </w:tabs>
        <w:spacing w:after="0" w:line="240" w:lineRule="auto"/>
        <w:rPr>
          <w:rFonts w:ascii="Arial" w:eastAsia="Times New Roman" w:hAnsi="Arial" w:cs="Arial"/>
          <w:sz w:val="18"/>
          <w:szCs w:val="24"/>
          <w:lang w:eastAsia="es-ES"/>
        </w:rPr>
      </w:pPr>
    </w:p>
    <w:p w:rsidR="005F7E74" w:rsidRPr="005F7E74" w:rsidRDefault="005F7E74" w:rsidP="005F7E74">
      <w:pPr>
        <w:tabs>
          <w:tab w:val="left" w:pos="709"/>
        </w:tabs>
        <w:spacing w:after="0" w:line="240" w:lineRule="auto"/>
        <w:rPr>
          <w:rFonts w:ascii="Arial" w:eastAsia="Times New Roman" w:hAnsi="Arial" w:cs="Arial"/>
          <w:sz w:val="18"/>
          <w:szCs w:val="24"/>
          <w:lang w:eastAsia="es-ES"/>
        </w:rPr>
      </w:pPr>
    </w:p>
    <w:p w:rsidR="005F7E74" w:rsidRPr="005F7E74" w:rsidRDefault="005F7E74" w:rsidP="005F7E74">
      <w:pPr>
        <w:spacing w:after="0"/>
        <w:ind w:firstLine="708"/>
        <w:jc w:val="both"/>
        <w:rPr>
          <w:rFonts w:ascii="Arial" w:eastAsia="Times New Roman" w:hAnsi="Arial" w:cs="Arial"/>
          <w:sz w:val="24"/>
          <w:szCs w:val="24"/>
          <w:lang w:eastAsia="es-ES"/>
        </w:rPr>
      </w:pPr>
      <w:r w:rsidRPr="005F7E74">
        <w:rPr>
          <w:rFonts w:ascii="Arial" w:eastAsia="Times New Roman" w:hAnsi="Arial" w:cs="Arial"/>
          <w:sz w:val="24"/>
          <w:szCs w:val="24"/>
          <w:lang w:eastAsia="es-ES"/>
        </w:rPr>
        <w:t>La Figura 15 ilustra la distribución de días buenos, malos y regulares del NO</w:t>
      </w:r>
      <w:r w:rsidRPr="005F7E74">
        <w:rPr>
          <w:rFonts w:ascii="Arial" w:eastAsia="Times New Roman" w:hAnsi="Arial" w:cs="Arial"/>
          <w:sz w:val="24"/>
          <w:szCs w:val="24"/>
          <w:vertAlign w:val="subscript"/>
          <w:lang w:eastAsia="es-ES"/>
        </w:rPr>
        <w:t>2</w:t>
      </w:r>
      <w:r w:rsidRPr="005F7E74">
        <w:rPr>
          <w:rFonts w:ascii="Arial" w:eastAsia="Times New Roman" w:hAnsi="Arial" w:cs="Arial"/>
          <w:sz w:val="24"/>
          <w:szCs w:val="24"/>
          <w:lang w:eastAsia="es-ES"/>
        </w:rPr>
        <w:t>, en general los días que fue posible calificar se clasifican el color verde, es decir que la calidad del aire es buena. Sólo Torreón registró en 2013 y 2014, dos y un día con el calificativo de regular (amarillo).</w:t>
      </w:r>
    </w:p>
    <w:p w:rsidR="005F7E74" w:rsidRPr="005F7E74" w:rsidRDefault="005F7E74" w:rsidP="005F7E74">
      <w:pPr>
        <w:spacing w:after="0"/>
        <w:jc w:val="both"/>
        <w:rPr>
          <w:rFonts w:ascii="Arial" w:eastAsia="Times New Roman" w:hAnsi="Arial" w:cs="Arial"/>
          <w:sz w:val="24"/>
          <w:szCs w:val="24"/>
          <w:lang w:eastAsia="es-ES"/>
        </w:rPr>
      </w:pPr>
    </w:p>
    <w:p w:rsidR="005F7E74" w:rsidRPr="005F7E74" w:rsidRDefault="005F7E74" w:rsidP="005F7E74">
      <w:pPr>
        <w:spacing w:before="60" w:after="60" w:line="23" w:lineRule="atLeast"/>
        <w:rPr>
          <w:rFonts w:ascii="Arial" w:eastAsia="Times New Roman" w:hAnsi="Arial" w:cs="Arial"/>
          <w:b/>
          <w:color w:val="943634" w:themeColor="accent2" w:themeShade="BF"/>
          <w:lang w:eastAsia="es-ES"/>
        </w:rPr>
      </w:pPr>
      <w:bookmarkStart w:id="15" w:name="_Toc487642000"/>
      <w:r w:rsidRPr="005F7E74">
        <w:rPr>
          <w:rFonts w:ascii="Arial" w:eastAsia="Times New Roman" w:hAnsi="Arial" w:cs="Arial"/>
          <w:b/>
          <w:color w:val="008000"/>
          <w:lang w:eastAsia="es-ES"/>
        </w:rPr>
        <w:t xml:space="preserve">Figura </w:t>
      </w:r>
      <w:r w:rsidRPr="005F7E74">
        <w:rPr>
          <w:rFonts w:ascii="Arial" w:eastAsia="Times New Roman" w:hAnsi="Arial" w:cs="Arial"/>
          <w:b/>
          <w:color w:val="008000"/>
          <w:lang w:eastAsia="es-ES"/>
        </w:rPr>
        <w:fldChar w:fldCharType="begin"/>
      </w:r>
      <w:r w:rsidRPr="005F7E74">
        <w:rPr>
          <w:rFonts w:ascii="Arial" w:eastAsia="Times New Roman" w:hAnsi="Arial" w:cs="Arial"/>
          <w:b/>
          <w:color w:val="008000"/>
          <w:lang w:eastAsia="es-ES"/>
        </w:rPr>
        <w:instrText xml:space="preserve"> SEQ Figura \* ARABIC </w:instrText>
      </w:r>
      <w:r w:rsidRPr="005F7E74">
        <w:rPr>
          <w:rFonts w:ascii="Arial" w:eastAsia="Times New Roman" w:hAnsi="Arial" w:cs="Arial"/>
          <w:b/>
          <w:color w:val="008000"/>
          <w:lang w:eastAsia="es-ES"/>
        </w:rPr>
        <w:fldChar w:fldCharType="separate"/>
      </w:r>
      <w:r w:rsidRPr="005F7E74">
        <w:rPr>
          <w:rFonts w:ascii="Arial" w:eastAsia="Times New Roman" w:hAnsi="Arial" w:cs="Arial"/>
          <w:b/>
          <w:noProof/>
          <w:color w:val="008000"/>
          <w:lang w:eastAsia="es-ES"/>
        </w:rPr>
        <w:t>15</w:t>
      </w:r>
      <w:r w:rsidRPr="005F7E74">
        <w:rPr>
          <w:rFonts w:ascii="Arial" w:eastAsia="Times New Roman" w:hAnsi="Arial" w:cs="Arial"/>
          <w:b/>
          <w:color w:val="008000"/>
          <w:lang w:eastAsia="es-ES"/>
        </w:rPr>
        <w:fldChar w:fldCharType="end"/>
      </w:r>
      <w:r w:rsidRPr="005F7E74">
        <w:rPr>
          <w:rFonts w:ascii="Arial" w:eastAsia="Times New Roman" w:hAnsi="Arial" w:cs="Arial"/>
          <w:b/>
          <w:color w:val="008000"/>
          <w:lang w:eastAsia="es-ES"/>
        </w:rPr>
        <w:t xml:space="preserve">. </w:t>
      </w:r>
      <w:r w:rsidRPr="005F7E74">
        <w:rPr>
          <w:rFonts w:ascii="Arial" w:eastAsia="Times New Roman" w:hAnsi="Arial" w:cs="Arial"/>
          <w:lang w:eastAsia="es-ES"/>
        </w:rPr>
        <w:t>Distribución de días buenos, regulares y malos de NO</w:t>
      </w:r>
      <w:r w:rsidRPr="005F7E74">
        <w:rPr>
          <w:rFonts w:ascii="Arial" w:eastAsia="Times New Roman" w:hAnsi="Arial" w:cs="Arial"/>
          <w:vertAlign w:val="subscript"/>
          <w:lang w:eastAsia="es-ES"/>
        </w:rPr>
        <w:t>2</w:t>
      </w:r>
      <w:r w:rsidRPr="005F7E74">
        <w:rPr>
          <w:rFonts w:ascii="Arial" w:eastAsia="Times New Roman" w:hAnsi="Arial" w:cs="Arial"/>
          <w:lang w:eastAsia="es-ES"/>
        </w:rPr>
        <w:t>.</w:t>
      </w:r>
      <w:bookmarkEnd w:id="15"/>
    </w:p>
    <w:p w:rsidR="005F7E74" w:rsidRPr="005F7E74" w:rsidRDefault="005F7E74" w:rsidP="005F7E74">
      <w:pPr>
        <w:spacing w:after="0" w:line="240" w:lineRule="auto"/>
        <w:jc w:val="center"/>
        <w:rPr>
          <w:rFonts w:ascii="Arial" w:eastAsia="Times New Roman" w:hAnsi="Arial" w:cs="Arial"/>
          <w:sz w:val="24"/>
          <w:szCs w:val="24"/>
          <w:lang w:eastAsia="es-ES"/>
        </w:rPr>
      </w:pPr>
      <w:r w:rsidRPr="005F7E74">
        <w:rPr>
          <w:rFonts w:ascii="Arial" w:eastAsia="Times New Roman" w:hAnsi="Arial" w:cs="Times New Roman"/>
          <w:noProof/>
          <w:sz w:val="24"/>
          <w:szCs w:val="24"/>
          <w:lang w:eastAsia="es-MX"/>
        </w:rPr>
        <w:lastRenderedPageBreak/>
        <w:drawing>
          <wp:inline distT="0" distB="0" distL="0" distR="0" wp14:anchorId="12A3EE93" wp14:editId="360436F3">
            <wp:extent cx="5740400" cy="2433955"/>
            <wp:effectExtent l="0" t="0" r="25400" b="29845"/>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F7E74" w:rsidRPr="005F7E74" w:rsidRDefault="005F7E74" w:rsidP="005F7E74">
      <w:pPr>
        <w:tabs>
          <w:tab w:val="left" w:pos="709"/>
        </w:tabs>
        <w:spacing w:after="0" w:line="240" w:lineRule="auto"/>
        <w:rPr>
          <w:rFonts w:ascii="Arial" w:eastAsia="Times New Roman" w:hAnsi="Arial" w:cs="Arial"/>
          <w:sz w:val="18"/>
          <w:szCs w:val="24"/>
          <w:lang w:eastAsia="es-ES"/>
        </w:rPr>
      </w:pPr>
      <w:r w:rsidRPr="005F7E74">
        <w:rPr>
          <w:rFonts w:ascii="Arial" w:eastAsia="Times New Roman" w:hAnsi="Arial" w:cs="Arial"/>
          <w:b/>
          <w:sz w:val="18"/>
          <w:szCs w:val="24"/>
          <w:lang w:eastAsia="es-ES"/>
        </w:rPr>
        <w:t>Fuente</w:t>
      </w:r>
      <w:r w:rsidRPr="005F7E74">
        <w:rPr>
          <w:rFonts w:ascii="Arial" w:eastAsia="Times New Roman" w:hAnsi="Arial" w:cs="Arial"/>
          <w:b/>
          <w:sz w:val="18"/>
          <w:szCs w:val="18"/>
          <w:lang w:eastAsia="es-ES"/>
        </w:rPr>
        <w:t xml:space="preserve">: </w:t>
      </w:r>
      <w:r w:rsidRPr="005F7E74">
        <w:rPr>
          <w:rFonts w:ascii="Arial" w:hAnsi="Arial" w:cs="Arial"/>
          <w:sz w:val="18"/>
          <w:szCs w:val="18"/>
        </w:rPr>
        <w:t>Elaboración propia con datos de SEMA</w:t>
      </w:r>
      <w:r w:rsidRPr="005F7E74">
        <w:rPr>
          <w:rFonts w:ascii="Arial" w:eastAsia="Times New Roman" w:hAnsi="Arial" w:cs="Arial"/>
          <w:sz w:val="18"/>
          <w:szCs w:val="24"/>
          <w:lang w:eastAsia="es-ES"/>
        </w:rPr>
        <w:t>.</w:t>
      </w:r>
    </w:p>
    <w:p w:rsidR="005F7E74" w:rsidRPr="005F7E74" w:rsidRDefault="005F7E74" w:rsidP="005F7E74">
      <w:pPr>
        <w:tabs>
          <w:tab w:val="left" w:pos="709"/>
        </w:tabs>
        <w:spacing w:after="0" w:line="240" w:lineRule="auto"/>
        <w:rPr>
          <w:rFonts w:ascii="Arial" w:eastAsia="Times New Roman" w:hAnsi="Arial" w:cs="Arial"/>
          <w:b/>
          <w:sz w:val="24"/>
          <w:szCs w:val="24"/>
          <w:lang w:eastAsia="es-ES"/>
        </w:rPr>
      </w:pPr>
      <w:r w:rsidRPr="005F7E74">
        <w:rPr>
          <w:rFonts w:ascii="Arial" w:eastAsia="Times New Roman" w:hAnsi="Arial" w:cs="Arial"/>
          <w:sz w:val="18"/>
          <w:szCs w:val="24"/>
          <w:lang w:eastAsia="es-ES"/>
        </w:rPr>
        <w:t>DI = datos insuficientes, SM = sin medición</w:t>
      </w:r>
    </w:p>
    <w:p w:rsidR="005F7E74" w:rsidRPr="005F7E74" w:rsidRDefault="005F7E74" w:rsidP="005F7E74">
      <w:pPr>
        <w:spacing w:after="0" w:line="240" w:lineRule="auto"/>
        <w:jc w:val="both"/>
        <w:rPr>
          <w:rFonts w:ascii="Arial" w:eastAsia="Times New Roman" w:hAnsi="Arial" w:cs="Arial"/>
          <w:b/>
          <w:color w:val="008000"/>
          <w:lang w:eastAsia="es-ES"/>
        </w:rPr>
      </w:pPr>
    </w:p>
    <w:p w:rsidR="005F7E74" w:rsidRPr="005F7E74" w:rsidRDefault="005F7E74" w:rsidP="005F7E74">
      <w:pPr>
        <w:spacing w:after="0"/>
        <w:ind w:firstLine="708"/>
        <w:jc w:val="both"/>
        <w:rPr>
          <w:rFonts w:ascii="Arial" w:eastAsia="Times New Roman" w:hAnsi="Arial" w:cs="Arial"/>
          <w:sz w:val="24"/>
          <w:szCs w:val="24"/>
          <w:lang w:eastAsia="es-ES"/>
        </w:rPr>
      </w:pPr>
      <w:r w:rsidRPr="005F7E74">
        <w:rPr>
          <w:rFonts w:ascii="Arial" w:eastAsia="Times New Roman" w:hAnsi="Arial" w:cs="Arial"/>
          <w:sz w:val="24"/>
          <w:szCs w:val="24"/>
          <w:lang w:eastAsia="es-ES"/>
        </w:rPr>
        <w:t>Finalmente para el CO (Figura 16) sólo en Torreón se registraron días con calidad del aire regular, con un mayor número de días en 2014. Sin embargo, cabe destacar que en todos los años y todos los municipios los días que no se pudieron calificar van de un 20% en Saltillo en 2016 a un 68% en Torreón en 2012.</w:t>
      </w:r>
    </w:p>
    <w:p w:rsidR="005F7E74" w:rsidRPr="005F7E74" w:rsidRDefault="005F7E74" w:rsidP="005F7E74">
      <w:pPr>
        <w:spacing w:after="0" w:line="240" w:lineRule="auto"/>
        <w:jc w:val="both"/>
        <w:rPr>
          <w:rFonts w:ascii="Arial" w:eastAsia="Times New Roman" w:hAnsi="Arial" w:cs="Arial"/>
          <w:b/>
          <w:color w:val="008000"/>
          <w:lang w:eastAsia="es-ES"/>
        </w:rPr>
      </w:pPr>
    </w:p>
    <w:p w:rsidR="005F7E74" w:rsidRPr="005F7E74" w:rsidRDefault="005F7E74" w:rsidP="005F7E74">
      <w:pPr>
        <w:spacing w:before="60" w:after="60" w:line="23" w:lineRule="atLeast"/>
        <w:rPr>
          <w:rFonts w:ascii="Arial" w:eastAsia="Times New Roman" w:hAnsi="Arial" w:cs="Arial"/>
          <w:b/>
          <w:color w:val="943634" w:themeColor="accent2" w:themeShade="BF"/>
          <w:lang w:eastAsia="es-ES"/>
        </w:rPr>
      </w:pPr>
      <w:bookmarkStart w:id="16" w:name="_Toc487642001"/>
      <w:r w:rsidRPr="005F7E74">
        <w:rPr>
          <w:rFonts w:ascii="Arial" w:eastAsia="Times New Roman" w:hAnsi="Arial" w:cs="Arial"/>
          <w:b/>
          <w:color w:val="008000"/>
          <w:lang w:eastAsia="es-ES"/>
        </w:rPr>
        <w:t xml:space="preserve">Figura </w:t>
      </w:r>
      <w:r w:rsidRPr="005F7E74">
        <w:rPr>
          <w:rFonts w:ascii="Arial" w:eastAsia="Times New Roman" w:hAnsi="Arial" w:cs="Arial"/>
          <w:b/>
          <w:color w:val="008000"/>
          <w:lang w:eastAsia="es-ES"/>
        </w:rPr>
        <w:fldChar w:fldCharType="begin"/>
      </w:r>
      <w:r w:rsidRPr="005F7E74">
        <w:rPr>
          <w:rFonts w:ascii="Arial" w:eastAsia="Times New Roman" w:hAnsi="Arial" w:cs="Arial"/>
          <w:b/>
          <w:color w:val="008000"/>
          <w:lang w:eastAsia="es-ES"/>
        </w:rPr>
        <w:instrText xml:space="preserve"> SEQ Figura \* ARABIC </w:instrText>
      </w:r>
      <w:r w:rsidRPr="005F7E74">
        <w:rPr>
          <w:rFonts w:ascii="Arial" w:eastAsia="Times New Roman" w:hAnsi="Arial" w:cs="Arial"/>
          <w:b/>
          <w:color w:val="008000"/>
          <w:lang w:eastAsia="es-ES"/>
        </w:rPr>
        <w:fldChar w:fldCharType="separate"/>
      </w:r>
      <w:r w:rsidRPr="005F7E74">
        <w:rPr>
          <w:rFonts w:ascii="Arial" w:eastAsia="Times New Roman" w:hAnsi="Arial" w:cs="Arial"/>
          <w:b/>
          <w:noProof/>
          <w:color w:val="008000"/>
          <w:lang w:eastAsia="es-ES"/>
        </w:rPr>
        <w:t>16</w:t>
      </w:r>
      <w:r w:rsidRPr="005F7E74">
        <w:rPr>
          <w:rFonts w:ascii="Arial" w:eastAsia="Times New Roman" w:hAnsi="Arial" w:cs="Arial"/>
          <w:b/>
          <w:color w:val="008000"/>
          <w:lang w:eastAsia="es-ES"/>
        </w:rPr>
        <w:fldChar w:fldCharType="end"/>
      </w:r>
      <w:r w:rsidRPr="005F7E74">
        <w:rPr>
          <w:rFonts w:ascii="Arial" w:eastAsia="Times New Roman" w:hAnsi="Arial" w:cs="Arial"/>
          <w:b/>
          <w:color w:val="008000"/>
          <w:lang w:eastAsia="es-ES"/>
        </w:rPr>
        <w:t xml:space="preserve">. </w:t>
      </w:r>
      <w:r w:rsidRPr="005F7E74">
        <w:rPr>
          <w:rFonts w:ascii="Arial" w:eastAsia="Times New Roman" w:hAnsi="Arial" w:cs="Arial"/>
          <w:lang w:eastAsia="es-ES"/>
        </w:rPr>
        <w:t>Distribución de días buenos, regulares y malos de CO.</w:t>
      </w:r>
      <w:bookmarkEnd w:id="16"/>
    </w:p>
    <w:p w:rsidR="005F7E74" w:rsidRPr="005F7E74" w:rsidRDefault="005F7E74" w:rsidP="005F7E74">
      <w:pPr>
        <w:spacing w:after="0" w:line="240" w:lineRule="auto"/>
        <w:jc w:val="both"/>
        <w:rPr>
          <w:rFonts w:ascii="Arial" w:eastAsia="Times New Roman" w:hAnsi="Arial" w:cs="Arial"/>
          <w:sz w:val="24"/>
          <w:szCs w:val="24"/>
          <w:lang w:eastAsia="es-ES"/>
        </w:rPr>
      </w:pPr>
    </w:p>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Times New Roman"/>
          <w:noProof/>
          <w:sz w:val="24"/>
          <w:szCs w:val="24"/>
          <w:lang w:eastAsia="es-MX"/>
        </w:rPr>
        <w:drawing>
          <wp:inline distT="0" distB="0" distL="0" distR="0" wp14:anchorId="5ABCCEEF" wp14:editId="185B8BAE">
            <wp:extent cx="5612130" cy="2381250"/>
            <wp:effectExtent l="0" t="0" r="26670" b="3175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F7E74" w:rsidRPr="005F7E74" w:rsidRDefault="005F7E74" w:rsidP="005F7E74">
      <w:pPr>
        <w:tabs>
          <w:tab w:val="left" w:pos="709"/>
        </w:tabs>
        <w:spacing w:after="0" w:line="240" w:lineRule="auto"/>
        <w:rPr>
          <w:rFonts w:ascii="Arial" w:eastAsia="Times New Roman" w:hAnsi="Arial" w:cs="Arial"/>
          <w:sz w:val="18"/>
          <w:szCs w:val="24"/>
          <w:lang w:eastAsia="es-ES"/>
        </w:rPr>
      </w:pPr>
      <w:r w:rsidRPr="005F7E74">
        <w:rPr>
          <w:rFonts w:ascii="Arial" w:eastAsia="Times New Roman" w:hAnsi="Arial" w:cs="Arial"/>
          <w:b/>
          <w:sz w:val="18"/>
          <w:szCs w:val="24"/>
          <w:lang w:eastAsia="es-ES"/>
        </w:rPr>
        <w:t>Fuente</w:t>
      </w:r>
      <w:r w:rsidRPr="005F7E74">
        <w:rPr>
          <w:rFonts w:ascii="Arial" w:eastAsia="Times New Roman" w:hAnsi="Arial" w:cs="Arial"/>
          <w:b/>
          <w:sz w:val="18"/>
          <w:szCs w:val="18"/>
          <w:lang w:eastAsia="es-ES"/>
        </w:rPr>
        <w:t xml:space="preserve">: </w:t>
      </w:r>
      <w:r w:rsidRPr="005F7E74">
        <w:rPr>
          <w:rFonts w:ascii="Arial" w:hAnsi="Arial" w:cs="Arial"/>
          <w:sz w:val="18"/>
          <w:szCs w:val="18"/>
        </w:rPr>
        <w:t>Elaboración propia con datos de SEMA</w:t>
      </w:r>
      <w:r w:rsidRPr="005F7E74">
        <w:rPr>
          <w:rFonts w:ascii="Arial" w:eastAsia="Times New Roman" w:hAnsi="Arial" w:cs="Arial"/>
          <w:sz w:val="18"/>
          <w:szCs w:val="24"/>
          <w:lang w:eastAsia="es-ES"/>
        </w:rPr>
        <w:t>.</w:t>
      </w:r>
    </w:p>
    <w:p w:rsidR="005F7E74" w:rsidRPr="005F7E74" w:rsidRDefault="005F7E74" w:rsidP="005F7E74">
      <w:pPr>
        <w:tabs>
          <w:tab w:val="left" w:pos="709"/>
        </w:tabs>
        <w:spacing w:after="0" w:line="240" w:lineRule="auto"/>
        <w:rPr>
          <w:rFonts w:ascii="Arial" w:eastAsia="Times New Roman" w:hAnsi="Arial" w:cs="Arial"/>
          <w:b/>
          <w:sz w:val="24"/>
          <w:szCs w:val="24"/>
          <w:lang w:eastAsia="es-ES"/>
        </w:rPr>
      </w:pPr>
      <w:r w:rsidRPr="005F7E74">
        <w:rPr>
          <w:rFonts w:ascii="Arial" w:eastAsia="Times New Roman" w:hAnsi="Arial" w:cs="Arial"/>
          <w:sz w:val="18"/>
          <w:szCs w:val="24"/>
          <w:lang w:eastAsia="es-ES"/>
        </w:rPr>
        <w:t>DI = datos insuficientes, SM = sin medición</w:t>
      </w:r>
    </w:p>
    <w:p w:rsidR="005F7E74" w:rsidRDefault="005F7E74"/>
    <w:p w:rsidR="005F7E74" w:rsidRPr="005F7E74" w:rsidRDefault="005F7E74" w:rsidP="005F7E74">
      <w:pPr>
        <w:spacing w:after="120" w:line="240" w:lineRule="auto"/>
        <w:ind w:left="1170" w:hanging="1170"/>
        <w:jc w:val="both"/>
        <w:rPr>
          <w:rFonts w:ascii="Arial" w:eastAsia="Times New Roman" w:hAnsi="Arial" w:cs="Arial"/>
          <w:color w:val="000000" w:themeColor="text1"/>
          <w:szCs w:val="20"/>
          <w:lang w:eastAsia="es-ES"/>
        </w:rPr>
      </w:pPr>
      <w:r w:rsidRPr="005F7E74">
        <w:rPr>
          <w:rFonts w:ascii="Arial" w:eastAsia="Times New Roman" w:hAnsi="Arial" w:cs="Arial"/>
          <w:color w:val="000000" w:themeColor="text1"/>
          <w:szCs w:val="20"/>
          <w:lang w:eastAsia="es-ES"/>
        </w:rPr>
        <w:t xml:space="preserve">Porcentaje </w:t>
      </w:r>
      <w:proofErr w:type="spellStart"/>
      <w:r w:rsidRPr="005F7E74">
        <w:rPr>
          <w:rFonts w:ascii="Arial" w:eastAsia="Times New Roman" w:hAnsi="Arial" w:cs="Arial"/>
          <w:color w:val="000000" w:themeColor="text1"/>
          <w:szCs w:val="20"/>
          <w:lang w:eastAsia="es-ES"/>
        </w:rPr>
        <w:t>NOx</w:t>
      </w:r>
      <w:proofErr w:type="spellEnd"/>
      <w:r w:rsidRPr="005F7E74">
        <w:rPr>
          <w:rFonts w:ascii="Arial" w:eastAsia="Times New Roman" w:hAnsi="Arial" w:cs="Arial"/>
          <w:color w:val="000000" w:themeColor="text1"/>
          <w:szCs w:val="20"/>
          <w:lang w:eastAsia="es-ES"/>
        </w:rPr>
        <w:t xml:space="preserve"> emitidas por municipio en el Estado de Coahuila.</w:t>
      </w:r>
    </w:p>
    <w:tbl>
      <w:tblPr>
        <w:tblW w:w="876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00" w:firstRow="0" w:lastRow="0" w:firstColumn="0" w:lastColumn="0" w:noHBand="0" w:noVBand="0"/>
      </w:tblPr>
      <w:tblGrid>
        <w:gridCol w:w="2751"/>
        <w:gridCol w:w="3688"/>
        <w:gridCol w:w="2321"/>
      </w:tblGrid>
      <w:tr w:rsidR="005F7E74" w:rsidRPr="005F7E74" w:rsidTr="003E3F85">
        <w:trPr>
          <w:trHeight w:val="240"/>
          <w:jc w:val="center"/>
        </w:trPr>
        <w:tc>
          <w:tcPr>
            <w:tcW w:w="2751" w:type="dxa"/>
            <w:tcBorders>
              <w:bottom w:val="single" w:sz="4" w:space="0" w:color="BFBFBF" w:themeColor="background1" w:themeShade="BF"/>
            </w:tcBorders>
            <w:shd w:val="clear" w:color="auto" w:fill="008000"/>
            <w:noWrap/>
          </w:tcPr>
          <w:p w:rsidR="005F7E74" w:rsidRPr="005F7E74" w:rsidRDefault="005F7E74" w:rsidP="005F7E74">
            <w:pPr>
              <w:spacing w:after="0" w:line="240" w:lineRule="auto"/>
              <w:jc w:val="center"/>
              <w:rPr>
                <w:rFonts w:ascii="Arial" w:eastAsia="Times New Roman" w:hAnsi="Arial" w:cs="Arial"/>
                <w:b/>
                <w:bCs/>
                <w:color w:val="FFFFFF"/>
                <w:sz w:val="24"/>
                <w:szCs w:val="24"/>
                <w:lang w:eastAsia="es-ES"/>
              </w:rPr>
            </w:pPr>
            <w:r w:rsidRPr="005F7E74">
              <w:rPr>
                <w:rFonts w:ascii="Arial" w:eastAsia="Times New Roman" w:hAnsi="Arial" w:cs="Arial"/>
                <w:b/>
                <w:bCs/>
                <w:color w:val="FFFFFF"/>
                <w:lang w:eastAsia="es-ES"/>
              </w:rPr>
              <w:t>Municipio / % contribución</w:t>
            </w:r>
          </w:p>
        </w:tc>
        <w:tc>
          <w:tcPr>
            <w:tcW w:w="3688" w:type="dxa"/>
            <w:tcBorders>
              <w:bottom w:val="single" w:sz="4" w:space="0" w:color="BFBFBF" w:themeColor="background1" w:themeShade="BF"/>
            </w:tcBorders>
            <w:shd w:val="clear" w:color="auto" w:fill="008000"/>
            <w:noWrap/>
          </w:tcPr>
          <w:p w:rsidR="005F7E74" w:rsidRPr="005F7E74" w:rsidRDefault="005F7E74" w:rsidP="005F7E74">
            <w:pPr>
              <w:spacing w:after="0" w:line="240" w:lineRule="auto"/>
              <w:jc w:val="center"/>
              <w:rPr>
                <w:rFonts w:ascii="Arial" w:eastAsia="Times New Roman" w:hAnsi="Arial" w:cs="Arial"/>
                <w:b/>
                <w:bCs/>
                <w:color w:val="FFFFFF"/>
                <w:sz w:val="24"/>
                <w:szCs w:val="24"/>
                <w:lang w:eastAsia="es-ES"/>
              </w:rPr>
            </w:pPr>
            <w:r w:rsidRPr="005F7E74">
              <w:rPr>
                <w:rFonts w:ascii="Arial" w:eastAsia="Times New Roman" w:hAnsi="Arial" w:cs="Arial"/>
                <w:b/>
                <w:bCs/>
                <w:color w:val="FFFFFF"/>
                <w:lang w:eastAsia="es-ES"/>
              </w:rPr>
              <w:t>Categoría</w:t>
            </w:r>
          </w:p>
        </w:tc>
        <w:tc>
          <w:tcPr>
            <w:tcW w:w="2321" w:type="dxa"/>
            <w:tcBorders>
              <w:bottom w:val="single" w:sz="4" w:space="0" w:color="BFBFBF" w:themeColor="background1" w:themeShade="BF"/>
            </w:tcBorders>
            <w:shd w:val="clear" w:color="auto" w:fill="008000"/>
            <w:noWrap/>
          </w:tcPr>
          <w:p w:rsidR="005F7E74" w:rsidRPr="005F7E74" w:rsidRDefault="005F7E74" w:rsidP="005F7E74">
            <w:pPr>
              <w:spacing w:after="0" w:line="240" w:lineRule="auto"/>
              <w:jc w:val="center"/>
              <w:rPr>
                <w:rFonts w:ascii="Arial" w:eastAsia="Times New Roman" w:hAnsi="Arial" w:cs="Arial"/>
                <w:b/>
                <w:bCs/>
                <w:color w:val="FFFFFF"/>
                <w:sz w:val="24"/>
                <w:szCs w:val="24"/>
                <w:lang w:eastAsia="es-ES"/>
              </w:rPr>
            </w:pPr>
            <w:r w:rsidRPr="005F7E74">
              <w:rPr>
                <w:rFonts w:ascii="Arial" w:eastAsia="Times New Roman" w:hAnsi="Arial" w:cs="Arial"/>
                <w:b/>
                <w:bCs/>
                <w:color w:val="FFFFFF"/>
                <w:lang w:eastAsia="es-ES"/>
              </w:rPr>
              <w:t xml:space="preserve">% de emisiones de </w:t>
            </w:r>
            <w:proofErr w:type="spellStart"/>
            <w:r w:rsidRPr="005F7E74">
              <w:rPr>
                <w:rFonts w:ascii="Arial" w:eastAsia="Times New Roman" w:hAnsi="Arial" w:cs="Arial"/>
                <w:b/>
                <w:bCs/>
                <w:color w:val="FFFFFF"/>
                <w:lang w:eastAsia="es-ES"/>
              </w:rPr>
              <w:t>NO</w:t>
            </w:r>
            <w:r w:rsidRPr="005F7E74">
              <w:rPr>
                <w:rFonts w:ascii="Arial" w:eastAsia="Times New Roman" w:hAnsi="Arial" w:cs="Arial"/>
                <w:b/>
                <w:bCs/>
                <w:color w:val="FFFFFF"/>
                <w:vertAlign w:val="subscript"/>
                <w:lang w:eastAsia="es-ES"/>
              </w:rPr>
              <w:t>x</w:t>
            </w:r>
            <w:proofErr w:type="spellEnd"/>
          </w:p>
        </w:tc>
      </w:tr>
      <w:tr w:rsidR="005F7E74" w:rsidRPr="005F7E74" w:rsidTr="003E3F85">
        <w:trPr>
          <w:trHeight w:val="381"/>
          <w:jc w:val="center"/>
        </w:trPr>
        <w:tc>
          <w:tcPr>
            <w:tcW w:w="27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bCs/>
                <w:sz w:val="24"/>
                <w:szCs w:val="24"/>
                <w:lang w:eastAsia="es-ES"/>
              </w:rPr>
            </w:pPr>
            <w:r w:rsidRPr="005F7E74">
              <w:rPr>
                <w:rFonts w:ascii="Arial" w:eastAsia="Times New Roman" w:hAnsi="Arial" w:cs="Arial"/>
                <w:bCs/>
                <w:lang w:eastAsia="es-ES"/>
              </w:rPr>
              <w:t>Nava (45%)</w:t>
            </w:r>
          </w:p>
        </w:tc>
        <w:tc>
          <w:tcPr>
            <w:tcW w:w="3688"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color w:val="000000"/>
                <w:lang w:eastAsia="es-ES"/>
              </w:rPr>
              <w:t>Generación de energía eléctrica</w:t>
            </w:r>
          </w:p>
        </w:tc>
        <w:tc>
          <w:tcPr>
            <w:tcW w:w="2321"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lang w:eastAsia="es-ES"/>
              </w:rPr>
              <w:t>99.47</w:t>
            </w:r>
          </w:p>
        </w:tc>
      </w:tr>
      <w:tr w:rsidR="005F7E74" w:rsidRPr="005F7E74" w:rsidTr="003E3F85">
        <w:trPr>
          <w:trHeight w:val="350"/>
          <w:jc w:val="center"/>
        </w:trPr>
        <w:tc>
          <w:tcPr>
            <w:tcW w:w="2751" w:type="dxa"/>
            <w:vMerge w:val="restart"/>
            <w:tcBorders>
              <w:top w:val="single" w:sz="4" w:space="0" w:color="BFBFBF" w:themeColor="background1" w:themeShade="BF"/>
            </w:tcBorders>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lang w:eastAsia="es-ES"/>
              </w:rPr>
              <w:lastRenderedPageBreak/>
              <w:t>Monclova (22%)</w:t>
            </w:r>
          </w:p>
        </w:tc>
        <w:tc>
          <w:tcPr>
            <w:tcW w:w="3688" w:type="dxa"/>
            <w:tcBorders>
              <w:top w:val="single" w:sz="4" w:space="0" w:color="BFBFBF" w:themeColor="background1" w:themeShade="BF"/>
            </w:tcBorders>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Metalúrgica (incluye la siderúrgica)</w:t>
            </w:r>
          </w:p>
        </w:tc>
        <w:tc>
          <w:tcPr>
            <w:tcW w:w="2321" w:type="dxa"/>
            <w:tcBorders>
              <w:top w:val="single" w:sz="4" w:space="0" w:color="BFBFBF" w:themeColor="background1" w:themeShade="BF"/>
            </w:tcBorders>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86.94</w:t>
            </w:r>
          </w:p>
        </w:tc>
      </w:tr>
      <w:tr w:rsidR="005F7E74" w:rsidRPr="005F7E74" w:rsidTr="003E3F85">
        <w:trPr>
          <w:trHeight w:val="240"/>
          <w:jc w:val="center"/>
        </w:trPr>
        <w:tc>
          <w:tcPr>
            <w:tcW w:w="2751" w:type="dxa"/>
            <w:vMerge/>
            <w:shd w:val="clear" w:color="auto" w:fill="auto"/>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Química</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3.71</w:t>
            </w:r>
          </w:p>
        </w:tc>
      </w:tr>
      <w:tr w:rsidR="005F7E74" w:rsidRPr="005F7E74" w:rsidTr="003E3F85">
        <w:trPr>
          <w:trHeight w:val="240"/>
          <w:jc w:val="center"/>
        </w:trPr>
        <w:tc>
          <w:tcPr>
            <w:tcW w:w="2751" w:type="dxa"/>
            <w:vMerge/>
            <w:shd w:val="clear" w:color="auto" w:fill="auto"/>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Camionetas y Pick up</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2.85</w:t>
            </w:r>
          </w:p>
        </w:tc>
      </w:tr>
      <w:tr w:rsidR="005F7E74" w:rsidRPr="005F7E74" w:rsidTr="003E3F85">
        <w:trPr>
          <w:trHeight w:val="240"/>
          <w:jc w:val="center"/>
        </w:trPr>
        <w:tc>
          <w:tcPr>
            <w:tcW w:w="2751" w:type="dxa"/>
            <w:vMerge/>
            <w:shd w:val="clear" w:color="auto" w:fill="auto"/>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Autos particulares y taxis</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2.08</w:t>
            </w:r>
          </w:p>
        </w:tc>
      </w:tr>
      <w:tr w:rsidR="005F7E74" w:rsidRPr="005F7E74" w:rsidTr="003E3F85">
        <w:trPr>
          <w:trHeight w:val="240"/>
          <w:jc w:val="center"/>
        </w:trPr>
        <w:tc>
          <w:tcPr>
            <w:tcW w:w="2751" w:type="dxa"/>
            <w:vMerge/>
            <w:shd w:val="clear" w:color="auto" w:fill="auto"/>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proofErr w:type="spellStart"/>
            <w:r w:rsidRPr="005F7E74">
              <w:rPr>
                <w:rFonts w:ascii="Arial" w:eastAsia="Times New Roman" w:hAnsi="Arial" w:cs="Arial"/>
                <w:color w:val="000000"/>
                <w:lang w:eastAsia="es-ES"/>
              </w:rPr>
              <w:t>Veh</w:t>
            </w:r>
            <w:proofErr w:type="spellEnd"/>
            <w:r w:rsidRPr="005F7E74">
              <w:rPr>
                <w:rFonts w:ascii="Arial" w:eastAsia="Times New Roman" w:hAnsi="Arial" w:cs="Arial"/>
                <w:color w:val="000000"/>
                <w:lang w:eastAsia="es-ES"/>
              </w:rPr>
              <w:t xml:space="preserve"> &gt; 3 Ton y </w:t>
            </w:r>
            <w:proofErr w:type="spellStart"/>
            <w:r w:rsidRPr="005F7E74">
              <w:rPr>
                <w:rFonts w:ascii="Arial" w:eastAsia="Times New Roman" w:hAnsi="Arial" w:cs="Arial"/>
                <w:color w:val="000000"/>
                <w:lang w:eastAsia="es-ES"/>
              </w:rPr>
              <w:t>Tractocamiones</w:t>
            </w:r>
            <w:proofErr w:type="spellEnd"/>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1.57</w:t>
            </w:r>
          </w:p>
        </w:tc>
      </w:tr>
      <w:tr w:rsidR="005F7E74" w:rsidRPr="005F7E74" w:rsidTr="003E3F85">
        <w:trPr>
          <w:trHeight w:val="323"/>
          <w:jc w:val="center"/>
        </w:trPr>
        <w:tc>
          <w:tcPr>
            <w:tcW w:w="2751" w:type="dxa"/>
            <w:vMerge/>
            <w:shd w:val="clear" w:color="auto" w:fill="auto"/>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Autobuses</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1.00</w:t>
            </w:r>
          </w:p>
        </w:tc>
      </w:tr>
      <w:tr w:rsidR="005F7E74" w:rsidRPr="005F7E74" w:rsidTr="005F7E74">
        <w:trPr>
          <w:trHeight w:val="240"/>
          <w:jc w:val="center"/>
        </w:trPr>
        <w:tc>
          <w:tcPr>
            <w:tcW w:w="2751" w:type="dxa"/>
            <w:vMerge w:val="restart"/>
            <w:shd w:val="clear" w:color="auto" w:fill="FFFF00"/>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lang w:eastAsia="es-ES"/>
              </w:rPr>
              <w:t>Saltillo (10%)</w:t>
            </w:r>
          </w:p>
        </w:tc>
        <w:tc>
          <w:tcPr>
            <w:tcW w:w="3688" w:type="dxa"/>
            <w:shd w:val="clear" w:color="auto" w:fill="FFFF00"/>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Metalúrgica (incluye la siderúrgica)</w:t>
            </w:r>
          </w:p>
        </w:tc>
        <w:tc>
          <w:tcPr>
            <w:tcW w:w="2321" w:type="dxa"/>
            <w:shd w:val="clear" w:color="auto" w:fill="FFFF00"/>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24.60</w:t>
            </w:r>
          </w:p>
        </w:tc>
      </w:tr>
      <w:tr w:rsidR="005F7E74" w:rsidRPr="005F7E74" w:rsidTr="005F7E74">
        <w:trPr>
          <w:trHeight w:val="269"/>
          <w:jc w:val="center"/>
        </w:trPr>
        <w:tc>
          <w:tcPr>
            <w:tcW w:w="2751" w:type="dxa"/>
            <w:vMerge/>
            <w:shd w:val="clear" w:color="auto" w:fill="FFFF00"/>
            <w:vAlign w:val="center"/>
          </w:tcPr>
          <w:p w:rsidR="005F7E74" w:rsidRPr="005F7E74" w:rsidRDefault="005F7E74" w:rsidP="005F7E74">
            <w:pPr>
              <w:spacing w:after="0" w:line="240" w:lineRule="auto"/>
              <w:jc w:val="both"/>
              <w:rPr>
                <w:rFonts w:ascii="Arial" w:eastAsia="Times New Roman" w:hAnsi="Arial" w:cs="Arial"/>
                <w:color w:val="5F497A" w:themeColor="accent4" w:themeShade="BF"/>
                <w:sz w:val="24"/>
                <w:szCs w:val="24"/>
                <w:lang w:eastAsia="es-ES"/>
              </w:rPr>
            </w:pPr>
          </w:p>
        </w:tc>
        <w:tc>
          <w:tcPr>
            <w:tcW w:w="3688" w:type="dxa"/>
            <w:shd w:val="clear" w:color="auto" w:fill="FFFF00"/>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proofErr w:type="spellStart"/>
            <w:r w:rsidRPr="005F7E74">
              <w:rPr>
                <w:rFonts w:ascii="Arial" w:eastAsia="Times New Roman" w:hAnsi="Arial" w:cs="Arial"/>
                <w:color w:val="000000"/>
                <w:lang w:eastAsia="es-ES"/>
              </w:rPr>
              <w:t>Veh</w:t>
            </w:r>
            <w:proofErr w:type="spellEnd"/>
            <w:r w:rsidRPr="005F7E74">
              <w:rPr>
                <w:rFonts w:ascii="Arial" w:eastAsia="Times New Roman" w:hAnsi="Arial" w:cs="Arial"/>
                <w:color w:val="000000"/>
                <w:lang w:eastAsia="es-ES"/>
              </w:rPr>
              <w:t xml:space="preserve"> &gt; 3 Ton y </w:t>
            </w:r>
            <w:proofErr w:type="spellStart"/>
            <w:r w:rsidRPr="005F7E74">
              <w:rPr>
                <w:rFonts w:ascii="Arial" w:eastAsia="Times New Roman" w:hAnsi="Arial" w:cs="Arial"/>
                <w:color w:val="000000"/>
                <w:lang w:eastAsia="es-ES"/>
              </w:rPr>
              <w:t>Tractocamiones</w:t>
            </w:r>
            <w:proofErr w:type="spellEnd"/>
          </w:p>
        </w:tc>
        <w:tc>
          <w:tcPr>
            <w:tcW w:w="2321" w:type="dxa"/>
            <w:shd w:val="clear" w:color="auto" w:fill="FFFF00"/>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22.97</w:t>
            </w:r>
          </w:p>
        </w:tc>
      </w:tr>
      <w:tr w:rsidR="005F7E74" w:rsidRPr="005F7E74" w:rsidTr="005F7E74">
        <w:trPr>
          <w:trHeight w:val="240"/>
          <w:jc w:val="center"/>
        </w:trPr>
        <w:tc>
          <w:tcPr>
            <w:tcW w:w="2751" w:type="dxa"/>
            <w:vMerge/>
            <w:shd w:val="clear" w:color="auto" w:fill="FFFF00"/>
            <w:vAlign w:val="center"/>
          </w:tcPr>
          <w:p w:rsidR="005F7E74" w:rsidRPr="005F7E74" w:rsidRDefault="005F7E74" w:rsidP="005F7E74">
            <w:pPr>
              <w:spacing w:after="0" w:line="240" w:lineRule="auto"/>
              <w:jc w:val="both"/>
              <w:rPr>
                <w:rFonts w:ascii="Arial" w:eastAsia="Times New Roman" w:hAnsi="Arial" w:cs="Arial"/>
                <w:color w:val="5F497A" w:themeColor="accent4" w:themeShade="BF"/>
                <w:sz w:val="24"/>
                <w:szCs w:val="24"/>
                <w:lang w:eastAsia="es-ES"/>
              </w:rPr>
            </w:pPr>
          </w:p>
        </w:tc>
        <w:tc>
          <w:tcPr>
            <w:tcW w:w="3688" w:type="dxa"/>
            <w:shd w:val="clear" w:color="auto" w:fill="FFFF00"/>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Autos particulares y taxis</w:t>
            </w:r>
          </w:p>
        </w:tc>
        <w:tc>
          <w:tcPr>
            <w:tcW w:w="2321" w:type="dxa"/>
            <w:shd w:val="clear" w:color="auto" w:fill="FFFF00"/>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19.76</w:t>
            </w:r>
          </w:p>
        </w:tc>
      </w:tr>
      <w:tr w:rsidR="005F7E74" w:rsidRPr="005F7E74" w:rsidTr="005F7E74">
        <w:trPr>
          <w:trHeight w:val="413"/>
          <w:jc w:val="center"/>
        </w:trPr>
        <w:tc>
          <w:tcPr>
            <w:tcW w:w="2751" w:type="dxa"/>
            <w:vMerge/>
            <w:shd w:val="clear" w:color="auto" w:fill="FFFF00"/>
            <w:vAlign w:val="center"/>
          </w:tcPr>
          <w:p w:rsidR="005F7E74" w:rsidRPr="005F7E74" w:rsidRDefault="005F7E74" w:rsidP="005F7E74">
            <w:pPr>
              <w:spacing w:after="0" w:line="240" w:lineRule="auto"/>
              <w:jc w:val="both"/>
              <w:rPr>
                <w:rFonts w:ascii="Arial" w:eastAsia="Times New Roman" w:hAnsi="Arial" w:cs="Arial"/>
                <w:color w:val="5F497A" w:themeColor="accent4" w:themeShade="BF"/>
                <w:sz w:val="24"/>
                <w:szCs w:val="24"/>
                <w:lang w:eastAsia="es-ES"/>
              </w:rPr>
            </w:pPr>
          </w:p>
        </w:tc>
        <w:tc>
          <w:tcPr>
            <w:tcW w:w="3688" w:type="dxa"/>
            <w:shd w:val="clear" w:color="auto" w:fill="FFFF00"/>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Camionetas y Pick up</w:t>
            </w:r>
          </w:p>
        </w:tc>
        <w:tc>
          <w:tcPr>
            <w:tcW w:w="2321" w:type="dxa"/>
            <w:shd w:val="clear" w:color="auto" w:fill="FFFF00"/>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16.96</w:t>
            </w:r>
          </w:p>
        </w:tc>
      </w:tr>
      <w:tr w:rsidR="005F7E74" w:rsidRPr="005F7E74" w:rsidTr="003E3F85">
        <w:trPr>
          <w:trHeight w:val="278"/>
          <w:jc w:val="center"/>
        </w:trPr>
        <w:tc>
          <w:tcPr>
            <w:tcW w:w="2751" w:type="dxa"/>
            <w:vMerge w:val="restart"/>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lang w:eastAsia="es-ES"/>
              </w:rPr>
              <w:t>Torreón (5%)</w:t>
            </w: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Camionetas y Pick up</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29.07</w:t>
            </w:r>
          </w:p>
        </w:tc>
      </w:tr>
      <w:tr w:rsidR="005F7E74" w:rsidRPr="005F7E74" w:rsidTr="003E3F85">
        <w:trPr>
          <w:trHeight w:val="260"/>
          <w:jc w:val="center"/>
        </w:trPr>
        <w:tc>
          <w:tcPr>
            <w:tcW w:w="2751" w:type="dxa"/>
            <w:vMerge/>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Autos particulares y taxis</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27.64</w:t>
            </w:r>
          </w:p>
        </w:tc>
      </w:tr>
      <w:tr w:rsidR="005F7E74" w:rsidRPr="005F7E74" w:rsidTr="003E3F85">
        <w:trPr>
          <w:trHeight w:val="296"/>
          <w:jc w:val="center"/>
        </w:trPr>
        <w:tc>
          <w:tcPr>
            <w:tcW w:w="2751" w:type="dxa"/>
            <w:vMerge/>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proofErr w:type="spellStart"/>
            <w:r w:rsidRPr="005F7E74">
              <w:rPr>
                <w:rFonts w:ascii="Arial" w:eastAsia="Times New Roman" w:hAnsi="Arial" w:cs="Arial"/>
                <w:color w:val="000000"/>
                <w:lang w:eastAsia="es-ES"/>
              </w:rPr>
              <w:t>Veh</w:t>
            </w:r>
            <w:proofErr w:type="spellEnd"/>
            <w:r w:rsidRPr="005F7E74">
              <w:rPr>
                <w:rFonts w:ascii="Arial" w:eastAsia="Times New Roman" w:hAnsi="Arial" w:cs="Arial"/>
                <w:color w:val="000000"/>
                <w:lang w:eastAsia="es-ES"/>
              </w:rPr>
              <w:t xml:space="preserve"> &gt; 3 Ton y </w:t>
            </w:r>
            <w:proofErr w:type="spellStart"/>
            <w:r w:rsidRPr="005F7E74">
              <w:rPr>
                <w:rFonts w:ascii="Arial" w:eastAsia="Times New Roman" w:hAnsi="Arial" w:cs="Arial"/>
                <w:color w:val="000000"/>
                <w:lang w:eastAsia="es-ES"/>
              </w:rPr>
              <w:t>Tractocamiones</w:t>
            </w:r>
            <w:proofErr w:type="spellEnd"/>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14.66</w:t>
            </w:r>
          </w:p>
        </w:tc>
      </w:tr>
      <w:tr w:rsidR="005F7E74" w:rsidRPr="005F7E74" w:rsidTr="003E3F85">
        <w:trPr>
          <w:trHeight w:val="296"/>
          <w:jc w:val="center"/>
        </w:trPr>
        <w:tc>
          <w:tcPr>
            <w:tcW w:w="2751" w:type="dxa"/>
            <w:vMerge/>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Cemento y cal</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9.19</w:t>
            </w:r>
          </w:p>
        </w:tc>
      </w:tr>
      <w:tr w:rsidR="005F7E74" w:rsidRPr="005F7E74" w:rsidTr="003E3F85">
        <w:trPr>
          <w:trHeight w:val="296"/>
          <w:jc w:val="center"/>
        </w:trPr>
        <w:tc>
          <w:tcPr>
            <w:tcW w:w="2751" w:type="dxa"/>
            <w:vMerge/>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Autobuses</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8.56</w:t>
            </w:r>
          </w:p>
        </w:tc>
      </w:tr>
      <w:tr w:rsidR="005F7E74" w:rsidRPr="005F7E74" w:rsidTr="003E3F85">
        <w:trPr>
          <w:trHeight w:val="296"/>
          <w:jc w:val="center"/>
        </w:trPr>
        <w:tc>
          <w:tcPr>
            <w:tcW w:w="2751" w:type="dxa"/>
            <w:vMerge/>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proofErr w:type="spellStart"/>
            <w:r w:rsidRPr="005F7E74">
              <w:rPr>
                <w:rFonts w:ascii="Arial" w:eastAsia="Times New Roman" w:hAnsi="Arial" w:cs="Arial"/>
                <w:color w:val="000000"/>
                <w:lang w:eastAsia="es-ES"/>
              </w:rPr>
              <w:t>Veh</w:t>
            </w:r>
            <w:proofErr w:type="spellEnd"/>
            <w:r w:rsidRPr="005F7E74">
              <w:rPr>
                <w:rFonts w:ascii="Arial" w:eastAsia="Times New Roman" w:hAnsi="Arial" w:cs="Arial"/>
                <w:color w:val="000000"/>
                <w:lang w:eastAsia="es-ES"/>
              </w:rPr>
              <w:t xml:space="preserve"> &lt; 3 Ton</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5.31</w:t>
            </w:r>
          </w:p>
        </w:tc>
      </w:tr>
      <w:tr w:rsidR="005F7E74" w:rsidRPr="005F7E74" w:rsidTr="003E3F85">
        <w:trPr>
          <w:trHeight w:val="427"/>
          <w:jc w:val="center"/>
        </w:trPr>
        <w:tc>
          <w:tcPr>
            <w:tcW w:w="2751" w:type="dxa"/>
            <w:vMerge w:val="restart"/>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lang w:eastAsia="es-ES"/>
              </w:rPr>
              <w:t>Ramos Arizpe (3%)</w:t>
            </w:r>
          </w:p>
        </w:tc>
        <w:tc>
          <w:tcPr>
            <w:tcW w:w="3688" w:type="dxa"/>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proofErr w:type="spellStart"/>
            <w:r w:rsidRPr="005F7E74">
              <w:rPr>
                <w:rFonts w:ascii="Arial" w:eastAsia="Times New Roman" w:hAnsi="Arial" w:cs="Arial"/>
                <w:color w:val="000000"/>
                <w:lang w:eastAsia="es-ES"/>
              </w:rPr>
              <w:t>Veh</w:t>
            </w:r>
            <w:proofErr w:type="spellEnd"/>
            <w:r w:rsidRPr="005F7E74">
              <w:rPr>
                <w:rFonts w:ascii="Arial" w:eastAsia="Times New Roman" w:hAnsi="Arial" w:cs="Arial"/>
                <w:color w:val="000000"/>
                <w:lang w:eastAsia="es-ES"/>
              </w:rPr>
              <w:t xml:space="preserve"> &gt; 3 Ton y </w:t>
            </w:r>
            <w:proofErr w:type="spellStart"/>
            <w:r w:rsidRPr="005F7E74">
              <w:rPr>
                <w:rFonts w:ascii="Arial" w:eastAsia="Times New Roman" w:hAnsi="Arial" w:cs="Arial"/>
                <w:color w:val="000000"/>
                <w:lang w:eastAsia="es-ES"/>
              </w:rPr>
              <w:t>Tractocamiones</w:t>
            </w:r>
            <w:proofErr w:type="spellEnd"/>
          </w:p>
        </w:tc>
        <w:tc>
          <w:tcPr>
            <w:tcW w:w="2321" w:type="dxa"/>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48.20</w:t>
            </w:r>
          </w:p>
        </w:tc>
      </w:tr>
      <w:tr w:rsidR="005F7E74" w:rsidRPr="005F7E74" w:rsidTr="003E3F85">
        <w:trPr>
          <w:trHeight w:val="391"/>
          <w:jc w:val="center"/>
        </w:trPr>
        <w:tc>
          <w:tcPr>
            <w:tcW w:w="2751" w:type="dxa"/>
            <w:vMerge/>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Industria del cemento y cal</w:t>
            </w:r>
          </w:p>
        </w:tc>
        <w:tc>
          <w:tcPr>
            <w:tcW w:w="2321" w:type="dxa"/>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19.90</w:t>
            </w:r>
          </w:p>
        </w:tc>
      </w:tr>
      <w:tr w:rsidR="005F7E74" w:rsidRPr="005F7E74" w:rsidTr="003E3F85">
        <w:trPr>
          <w:trHeight w:val="373"/>
          <w:jc w:val="center"/>
        </w:trPr>
        <w:tc>
          <w:tcPr>
            <w:tcW w:w="2751" w:type="dxa"/>
            <w:vMerge w:val="restart"/>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lang w:eastAsia="es-ES"/>
              </w:rPr>
              <w:t>Piedras Negras (2%)</w:t>
            </w: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Camionetas y pick up</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36.90</w:t>
            </w:r>
          </w:p>
        </w:tc>
      </w:tr>
      <w:tr w:rsidR="005F7E74" w:rsidRPr="005F7E74" w:rsidTr="003E3F85">
        <w:trPr>
          <w:trHeight w:val="418"/>
          <w:jc w:val="center"/>
        </w:trPr>
        <w:tc>
          <w:tcPr>
            <w:tcW w:w="2751" w:type="dxa"/>
            <w:vMerge/>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Autos particulares y taxis</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23.60</w:t>
            </w:r>
          </w:p>
        </w:tc>
      </w:tr>
      <w:tr w:rsidR="005F7E74" w:rsidRPr="005F7E74" w:rsidTr="003E3F85">
        <w:trPr>
          <w:trHeight w:val="382"/>
          <w:jc w:val="center"/>
        </w:trPr>
        <w:tc>
          <w:tcPr>
            <w:tcW w:w="2751" w:type="dxa"/>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lang w:eastAsia="es-ES"/>
              </w:rPr>
              <w:t>Acuña (1%)</w:t>
            </w:r>
          </w:p>
        </w:tc>
        <w:tc>
          <w:tcPr>
            <w:tcW w:w="3688" w:type="dxa"/>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Camionetas y pick up</w:t>
            </w:r>
          </w:p>
        </w:tc>
        <w:tc>
          <w:tcPr>
            <w:tcW w:w="2321" w:type="dxa"/>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28.70</w:t>
            </w:r>
          </w:p>
        </w:tc>
      </w:tr>
      <w:tr w:rsidR="005F7E74" w:rsidRPr="005F7E74" w:rsidTr="003E3F85">
        <w:trPr>
          <w:trHeight w:val="1736"/>
          <w:jc w:val="center"/>
        </w:trPr>
        <w:tc>
          <w:tcPr>
            <w:tcW w:w="8760" w:type="dxa"/>
            <w:gridSpan w:val="3"/>
            <w:shd w:val="clear" w:color="auto" w:fill="008000"/>
            <w:noWrap/>
            <w:vAlign w:val="center"/>
          </w:tcPr>
          <w:p w:rsidR="005F7E74" w:rsidRPr="005F7E74" w:rsidRDefault="005F7E74" w:rsidP="005F7E74">
            <w:pPr>
              <w:numPr>
                <w:ilvl w:val="0"/>
                <w:numId w:val="1"/>
              </w:numPr>
              <w:spacing w:before="2" w:after="2" w:line="240" w:lineRule="auto"/>
              <w:contextualSpacing/>
              <w:jc w:val="both"/>
              <w:rPr>
                <w:rFonts w:ascii="Arial" w:eastAsia="Times New Roman" w:hAnsi="Arial" w:cs="Arial"/>
                <w:color w:val="FFFFFF" w:themeColor="background1"/>
                <w:lang w:eastAsia="es-ES"/>
              </w:rPr>
            </w:pPr>
            <w:r w:rsidRPr="005F7E74">
              <w:rPr>
                <w:rFonts w:ascii="Arial" w:eastAsia="Times New Roman" w:hAnsi="Arial" w:cs="Arial"/>
                <w:color w:val="FFFFFF" w:themeColor="background1"/>
                <w:lang w:eastAsia="es-ES"/>
              </w:rPr>
              <w:t xml:space="preserve">En 7 municipios se genera el 88% de las emisiones de </w:t>
            </w:r>
            <w:proofErr w:type="spellStart"/>
            <w:r w:rsidRPr="005F7E74">
              <w:rPr>
                <w:rFonts w:ascii="Arial" w:eastAsia="Times New Roman" w:hAnsi="Arial" w:cs="Arial"/>
                <w:color w:val="FFFFFF" w:themeColor="background1"/>
                <w:lang w:eastAsia="es-ES"/>
              </w:rPr>
              <w:t>NOx</w:t>
            </w:r>
            <w:proofErr w:type="spellEnd"/>
            <w:r w:rsidRPr="005F7E74">
              <w:rPr>
                <w:rFonts w:ascii="Arial" w:eastAsia="Times New Roman" w:hAnsi="Arial" w:cs="Arial"/>
                <w:color w:val="FFFFFF" w:themeColor="background1"/>
                <w:lang w:eastAsia="es-ES"/>
              </w:rPr>
              <w:t>, proveniente de industria metalúrgica, generación de energía eléctrica, química y cemento y cal. Los vehículos automotores también son una fuente importante de este contaminante.</w:t>
            </w:r>
          </w:p>
          <w:p w:rsidR="005F7E74" w:rsidRPr="005F7E74" w:rsidRDefault="005F7E74" w:rsidP="005F7E74">
            <w:pPr>
              <w:numPr>
                <w:ilvl w:val="0"/>
                <w:numId w:val="1"/>
              </w:numPr>
              <w:spacing w:before="2" w:after="2" w:line="240" w:lineRule="auto"/>
              <w:contextualSpacing/>
              <w:jc w:val="both"/>
              <w:rPr>
                <w:rFonts w:ascii="Arial" w:eastAsia="Times New Roman" w:hAnsi="Arial" w:cs="Arial"/>
                <w:color w:val="FFFFFF" w:themeColor="background1"/>
                <w:lang w:eastAsia="es-ES"/>
              </w:rPr>
            </w:pPr>
            <w:r w:rsidRPr="005F7E74">
              <w:rPr>
                <w:rFonts w:ascii="Arial" w:eastAsia="Times New Roman" w:hAnsi="Arial" w:cs="Arial"/>
                <w:color w:val="FFFFFF" w:themeColor="background1"/>
                <w:lang w:eastAsia="es-ES"/>
              </w:rPr>
              <w:t>En los 31 municipios restantes se genera el 12% de este contaminante.</w:t>
            </w:r>
          </w:p>
        </w:tc>
      </w:tr>
    </w:tbl>
    <w:p w:rsidR="005F7E74" w:rsidRPr="005F7E74" w:rsidRDefault="005F7E74" w:rsidP="005F7E74">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ight="49" w:hanging="630"/>
        <w:jc w:val="both"/>
        <w:rPr>
          <w:rFonts w:ascii="Arial" w:eastAsia="Times New Roman" w:hAnsi="Arial" w:cs="Arial"/>
          <w:sz w:val="20"/>
          <w:szCs w:val="20"/>
          <w:lang w:eastAsia="es-ES"/>
        </w:rPr>
      </w:pPr>
      <w:r w:rsidRPr="005F7E74">
        <w:rPr>
          <w:rFonts w:ascii="Arial" w:eastAsia="Times New Roman" w:hAnsi="Arial" w:cs="Arial"/>
          <w:b/>
          <w:sz w:val="20"/>
          <w:szCs w:val="20"/>
          <w:lang w:eastAsia="es-ES"/>
        </w:rPr>
        <w:t>Fuente:</w:t>
      </w:r>
      <w:r w:rsidRPr="005F7E74">
        <w:rPr>
          <w:rFonts w:ascii="Arial" w:eastAsia="Times New Roman" w:hAnsi="Arial" w:cs="Arial"/>
          <w:sz w:val="20"/>
          <w:szCs w:val="20"/>
          <w:lang w:eastAsia="es-ES"/>
        </w:rPr>
        <w:t xml:space="preserve"> LT </w:t>
      </w:r>
      <w:proofErr w:type="spellStart"/>
      <w:r w:rsidRPr="005F7E74">
        <w:rPr>
          <w:rFonts w:ascii="Arial" w:eastAsia="Times New Roman" w:hAnsi="Arial" w:cs="Arial"/>
          <w:sz w:val="20"/>
          <w:szCs w:val="20"/>
          <w:lang w:eastAsia="es-ES"/>
        </w:rPr>
        <w:t>Consulting</w:t>
      </w:r>
      <w:proofErr w:type="spellEnd"/>
      <w:r w:rsidRPr="005F7E74">
        <w:rPr>
          <w:rFonts w:ascii="Arial" w:eastAsia="Times New Roman" w:hAnsi="Arial" w:cs="Arial"/>
          <w:sz w:val="20"/>
          <w:szCs w:val="20"/>
          <w:lang w:eastAsia="es-ES"/>
        </w:rPr>
        <w:t>, 2017. Información del Inventario de Emisiones Contaminantes a la Atmósfera para el Estado de Coahuila.</w:t>
      </w:r>
    </w:p>
    <w:p w:rsidR="005F7E74" w:rsidRDefault="005F7E74"/>
    <w:p w:rsidR="005F7E74" w:rsidRPr="005F7E74" w:rsidRDefault="005F7E74" w:rsidP="005F7E74">
      <w:pPr>
        <w:spacing w:after="120" w:line="240" w:lineRule="auto"/>
        <w:ind w:left="1170" w:hanging="1170"/>
        <w:jc w:val="both"/>
        <w:rPr>
          <w:rFonts w:ascii="Arial" w:eastAsia="Times New Roman" w:hAnsi="Arial" w:cs="Arial"/>
          <w:color w:val="000000" w:themeColor="text1"/>
          <w:szCs w:val="20"/>
          <w:lang w:eastAsia="es-ES"/>
        </w:rPr>
      </w:pPr>
      <w:bookmarkStart w:id="17" w:name="_Toc487641979"/>
      <w:r w:rsidRPr="005F7E74">
        <w:rPr>
          <w:rFonts w:ascii="Arial" w:eastAsia="Times New Roman" w:hAnsi="Arial" w:cs="Arial"/>
          <w:b/>
          <w:color w:val="008000"/>
          <w:lang w:eastAsia="es-ES"/>
        </w:rPr>
        <w:t xml:space="preserve">Cuadro  </w:t>
      </w:r>
      <w:r w:rsidRPr="005F7E74">
        <w:rPr>
          <w:rFonts w:ascii="Arial" w:eastAsia="Times New Roman" w:hAnsi="Arial" w:cs="Arial"/>
          <w:b/>
          <w:color w:val="008000"/>
          <w:lang w:eastAsia="es-ES"/>
        </w:rPr>
        <w:fldChar w:fldCharType="begin"/>
      </w:r>
      <w:r w:rsidRPr="005F7E74">
        <w:rPr>
          <w:rFonts w:ascii="Arial" w:eastAsia="Times New Roman" w:hAnsi="Arial" w:cs="Arial"/>
          <w:b/>
          <w:color w:val="008000"/>
          <w:lang w:eastAsia="es-ES"/>
        </w:rPr>
        <w:instrText xml:space="preserve"> SEQ Cuadro_ \* ARABIC </w:instrText>
      </w:r>
      <w:r w:rsidRPr="005F7E74">
        <w:rPr>
          <w:rFonts w:ascii="Arial" w:eastAsia="Times New Roman" w:hAnsi="Arial" w:cs="Arial"/>
          <w:b/>
          <w:color w:val="008000"/>
          <w:lang w:eastAsia="es-ES"/>
        </w:rPr>
        <w:fldChar w:fldCharType="separate"/>
      </w:r>
      <w:r w:rsidRPr="005F7E74">
        <w:rPr>
          <w:rFonts w:ascii="Arial" w:eastAsia="Times New Roman" w:hAnsi="Arial" w:cs="Arial"/>
          <w:b/>
          <w:noProof/>
          <w:color w:val="008000"/>
          <w:lang w:eastAsia="es-ES"/>
        </w:rPr>
        <w:t>9</w:t>
      </w:r>
      <w:r w:rsidRPr="005F7E74">
        <w:rPr>
          <w:rFonts w:ascii="Arial" w:eastAsia="Times New Roman" w:hAnsi="Arial" w:cs="Arial"/>
          <w:b/>
          <w:color w:val="008000"/>
          <w:lang w:eastAsia="es-ES"/>
        </w:rPr>
        <w:fldChar w:fldCharType="end"/>
      </w:r>
      <w:r w:rsidRPr="005F7E74">
        <w:rPr>
          <w:rFonts w:ascii="Arial" w:eastAsia="Times New Roman" w:hAnsi="Arial" w:cs="Arial"/>
          <w:b/>
          <w:color w:val="008000"/>
          <w:lang w:eastAsia="es-ES"/>
        </w:rPr>
        <w:t xml:space="preserve">. </w:t>
      </w:r>
      <w:r w:rsidRPr="005F7E74">
        <w:rPr>
          <w:rFonts w:ascii="Arial" w:eastAsia="Times New Roman" w:hAnsi="Arial" w:cs="Arial"/>
          <w:color w:val="000000" w:themeColor="text1"/>
          <w:szCs w:val="20"/>
          <w:lang w:eastAsia="es-ES"/>
        </w:rPr>
        <w:t>Porcentaje COV emitidas por municipio en el Estado de Coahuila.</w:t>
      </w:r>
      <w:bookmarkEnd w:id="17"/>
    </w:p>
    <w:tbl>
      <w:tblPr>
        <w:tblW w:w="876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000" w:firstRow="0" w:lastRow="0" w:firstColumn="0" w:lastColumn="0" w:noHBand="0" w:noVBand="0"/>
      </w:tblPr>
      <w:tblGrid>
        <w:gridCol w:w="2751"/>
        <w:gridCol w:w="3688"/>
        <w:gridCol w:w="2321"/>
      </w:tblGrid>
      <w:tr w:rsidR="005F7E74" w:rsidRPr="005F7E74" w:rsidTr="003E3F85">
        <w:trPr>
          <w:trHeight w:val="240"/>
          <w:jc w:val="center"/>
        </w:trPr>
        <w:tc>
          <w:tcPr>
            <w:tcW w:w="2751" w:type="dxa"/>
            <w:tcBorders>
              <w:bottom w:val="single" w:sz="4" w:space="0" w:color="BFBFBF" w:themeColor="background1" w:themeShade="BF"/>
            </w:tcBorders>
            <w:shd w:val="clear" w:color="auto" w:fill="008000"/>
            <w:noWrap/>
          </w:tcPr>
          <w:p w:rsidR="005F7E74" w:rsidRPr="005F7E74" w:rsidRDefault="005F7E74" w:rsidP="005F7E74">
            <w:pPr>
              <w:spacing w:after="0" w:line="240" w:lineRule="auto"/>
              <w:jc w:val="center"/>
              <w:rPr>
                <w:rFonts w:ascii="Arial" w:eastAsia="Times New Roman" w:hAnsi="Arial" w:cs="Arial"/>
                <w:b/>
                <w:bCs/>
                <w:color w:val="FFFFFF"/>
                <w:sz w:val="24"/>
                <w:szCs w:val="24"/>
                <w:lang w:eastAsia="es-ES"/>
              </w:rPr>
            </w:pPr>
            <w:r w:rsidRPr="005F7E74">
              <w:rPr>
                <w:rFonts w:ascii="Arial" w:eastAsia="Times New Roman" w:hAnsi="Arial" w:cs="Arial"/>
                <w:b/>
                <w:bCs/>
                <w:color w:val="FFFFFF"/>
                <w:lang w:eastAsia="es-ES"/>
              </w:rPr>
              <w:t>Municipio / % contribución</w:t>
            </w:r>
          </w:p>
        </w:tc>
        <w:tc>
          <w:tcPr>
            <w:tcW w:w="3688" w:type="dxa"/>
            <w:tcBorders>
              <w:bottom w:val="single" w:sz="4" w:space="0" w:color="BFBFBF" w:themeColor="background1" w:themeShade="BF"/>
            </w:tcBorders>
            <w:shd w:val="clear" w:color="auto" w:fill="008000"/>
            <w:noWrap/>
          </w:tcPr>
          <w:p w:rsidR="005F7E74" w:rsidRPr="005F7E74" w:rsidRDefault="005F7E74" w:rsidP="005F7E74">
            <w:pPr>
              <w:spacing w:after="0" w:line="240" w:lineRule="auto"/>
              <w:jc w:val="center"/>
              <w:rPr>
                <w:rFonts w:ascii="Arial" w:eastAsia="Times New Roman" w:hAnsi="Arial" w:cs="Arial"/>
                <w:b/>
                <w:bCs/>
                <w:color w:val="FFFFFF"/>
                <w:sz w:val="24"/>
                <w:szCs w:val="24"/>
                <w:lang w:eastAsia="es-ES"/>
              </w:rPr>
            </w:pPr>
            <w:r w:rsidRPr="005F7E74">
              <w:rPr>
                <w:rFonts w:ascii="Arial" w:eastAsia="Times New Roman" w:hAnsi="Arial" w:cs="Arial"/>
                <w:b/>
                <w:bCs/>
                <w:color w:val="FFFFFF"/>
                <w:lang w:eastAsia="es-ES"/>
              </w:rPr>
              <w:t>Categoría</w:t>
            </w:r>
          </w:p>
        </w:tc>
        <w:tc>
          <w:tcPr>
            <w:tcW w:w="2321" w:type="dxa"/>
            <w:tcBorders>
              <w:bottom w:val="single" w:sz="4" w:space="0" w:color="BFBFBF" w:themeColor="background1" w:themeShade="BF"/>
            </w:tcBorders>
            <w:shd w:val="clear" w:color="auto" w:fill="008000"/>
            <w:noWrap/>
          </w:tcPr>
          <w:p w:rsidR="005F7E74" w:rsidRPr="005F7E74" w:rsidRDefault="005F7E74" w:rsidP="005F7E74">
            <w:pPr>
              <w:spacing w:after="0" w:line="240" w:lineRule="auto"/>
              <w:jc w:val="center"/>
              <w:rPr>
                <w:rFonts w:ascii="Arial" w:eastAsia="Times New Roman" w:hAnsi="Arial" w:cs="Arial"/>
                <w:b/>
                <w:bCs/>
                <w:color w:val="FFFFFF"/>
                <w:sz w:val="24"/>
                <w:szCs w:val="24"/>
                <w:lang w:eastAsia="es-ES"/>
              </w:rPr>
            </w:pPr>
            <w:r w:rsidRPr="005F7E74">
              <w:rPr>
                <w:rFonts w:ascii="Arial" w:eastAsia="Times New Roman" w:hAnsi="Arial" w:cs="Arial"/>
                <w:b/>
                <w:bCs/>
                <w:color w:val="FFFFFF"/>
                <w:lang w:eastAsia="es-ES"/>
              </w:rPr>
              <w:t>% de emisiones de COV</w:t>
            </w:r>
          </w:p>
        </w:tc>
      </w:tr>
      <w:tr w:rsidR="005F7E74" w:rsidRPr="005F7E74" w:rsidTr="003E3F85">
        <w:trPr>
          <w:trHeight w:val="368"/>
          <w:jc w:val="center"/>
        </w:trPr>
        <w:tc>
          <w:tcPr>
            <w:tcW w:w="2751" w:type="dxa"/>
            <w:vMerge w:val="restart"/>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bCs/>
                <w:sz w:val="24"/>
                <w:szCs w:val="24"/>
                <w:lang w:eastAsia="es-ES"/>
              </w:rPr>
            </w:pPr>
            <w:r w:rsidRPr="005F7E74">
              <w:rPr>
                <w:rFonts w:ascii="Arial" w:eastAsia="Times New Roman" w:hAnsi="Arial" w:cs="Arial"/>
                <w:bCs/>
                <w:lang w:eastAsia="es-ES"/>
              </w:rPr>
              <w:t>Saltillo (47%)</w:t>
            </w:r>
          </w:p>
        </w:tc>
        <w:tc>
          <w:tcPr>
            <w:tcW w:w="3688"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color w:val="000000"/>
                <w:lang w:eastAsia="es-ES"/>
              </w:rPr>
              <w:t>Automotriz</w:t>
            </w:r>
          </w:p>
        </w:tc>
        <w:tc>
          <w:tcPr>
            <w:tcW w:w="2321"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62.01</w:t>
            </w:r>
          </w:p>
        </w:tc>
      </w:tr>
      <w:tr w:rsidR="005F7E74" w:rsidRPr="005F7E74" w:rsidTr="003E3F85">
        <w:trPr>
          <w:trHeight w:val="350"/>
          <w:jc w:val="center"/>
        </w:trPr>
        <w:tc>
          <w:tcPr>
            <w:tcW w:w="2751" w:type="dxa"/>
            <w:vMerge/>
            <w:tcBorders>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bCs/>
                <w:sz w:val="24"/>
                <w:szCs w:val="24"/>
                <w:lang w:eastAsia="es-ES"/>
              </w:rPr>
            </w:pPr>
          </w:p>
        </w:tc>
        <w:tc>
          <w:tcPr>
            <w:tcW w:w="3688"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color w:val="000000"/>
                <w:lang w:eastAsia="es-ES"/>
              </w:rPr>
              <w:t>Autos particulares y taxis</w:t>
            </w:r>
          </w:p>
        </w:tc>
        <w:tc>
          <w:tcPr>
            <w:tcW w:w="2321"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10.43</w:t>
            </w:r>
          </w:p>
        </w:tc>
      </w:tr>
      <w:tr w:rsidR="005F7E74" w:rsidRPr="005F7E74" w:rsidTr="003E3F85">
        <w:trPr>
          <w:trHeight w:val="350"/>
          <w:jc w:val="center"/>
        </w:trPr>
        <w:tc>
          <w:tcPr>
            <w:tcW w:w="2751" w:type="dxa"/>
            <w:vMerge/>
            <w:tcBorders>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bCs/>
                <w:sz w:val="24"/>
                <w:szCs w:val="24"/>
                <w:lang w:eastAsia="es-ES"/>
              </w:rPr>
            </w:pPr>
          </w:p>
        </w:tc>
        <w:tc>
          <w:tcPr>
            <w:tcW w:w="3688"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color w:val="000000"/>
                <w:lang w:eastAsia="es-ES"/>
              </w:rPr>
              <w:t xml:space="preserve">Camionetas y </w:t>
            </w:r>
            <w:r w:rsidRPr="005F7E74">
              <w:rPr>
                <w:rFonts w:ascii="Arial" w:eastAsia="Times New Roman" w:hAnsi="Arial" w:cs="Arial"/>
                <w:i/>
                <w:color w:val="000000"/>
                <w:lang w:eastAsia="es-ES"/>
              </w:rPr>
              <w:t>Pick up</w:t>
            </w:r>
          </w:p>
        </w:tc>
        <w:tc>
          <w:tcPr>
            <w:tcW w:w="2321"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10.35</w:t>
            </w:r>
          </w:p>
        </w:tc>
      </w:tr>
      <w:tr w:rsidR="005F7E74" w:rsidRPr="005F7E74" w:rsidTr="003E3F85">
        <w:trPr>
          <w:trHeight w:val="350"/>
          <w:jc w:val="center"/>
        </w:trPr>
        <w:tc>
          <w:tcPr>
            <w:tcW w:w="2751" w:type="dxa"/>
            <w:vMerge/>
            <w:tcBorders>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bCs/>
                <w:sz w:val="24"/>
                <w:szCs w:val="24"/>
                <w:lang w:eastAsia="es-ES"/>
              </w:rPr>
            </w:pPr>
          </w:p>
        </w:tc>
        <w:tc>
          <w:tcPr>
            <w:tcW w:w="3688"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color w:val="000000"/>
                <w:lang w:eastAsia="es-ES"/>
              </w:rPr>
              <w:t>Artes gráficas</w:t>
            </w:r>
          </w:p>
        </w:tc>
        <w:tc>
          <w:tcPr>
            <w:tcW w:w="2321"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7.05</w:t>
            </w:r>
          </w:p>
        </w:tc>
      </w:tr>
      <w:tr w:rsidR="005F7E74" w:rsidRPr="005F7E74" w:rsidTr="003E3F85">
        <w:trPr>
          <w:trHeight w:val="350"/>
          <w:jc w:val="center"/>
        </w:trPr>
        <w:tc>
          <w:tcPr>
            <w:tcW w:w="2751" w:type="dxa"/>
            <w:vMerge/>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bCs/>
                <w:sz w:val="24"/>
                <w:szCs w:val="24"/>
                <w:lang w:eastAsia="es-ES"/>
              </w:rPr>
            </w:pPr>
          </w:p>
        </w:tc>
        <w:tc>
          <w:tcPr>
            <w:tcW w:w="3688"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roofErr w:type="spellStart"/>
            <w:r w:rsidRPr="005F7E74">
              <w:rPr>
                <w:rFonts w:ascii="Arial" w:eastAsia="Times New Roman" w:hAnsi="Arial" w:cs="Arial"/>
                <w:color w:val="000000"/>
                <w:lang w:eastAsia="es-ES"/>
              </w:rPr>
              <w:t>Veh</w:t>
            </w:r>
            <w:proofErr w:type="spellEnd"/>
            <w:r w:rsidRPr="005F7E74">
              <w:rPr>
                <w:rFonts w:ascii="Arial" w:eastAsia="Times New Roman" w:hAnsi="Arial" w:cs="Arial"/>
                <w:color w:val="000000"/>
                <w:lang w:eastAsia="es-ES"/>
              </w:rPr>
              <w:t xml:space="preserve"> &lt; 3 Ton</w:t>
            </w:r>
          </w:p>
        </w:tc>
        <w:tc>
          <w:tcPr>
            <w:tcW w:w="2321"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2.44</w:t>
            </w:r>
          </w:p>
        </w:tc>
      </w:tr>
      <w:tr w:rsidR="005F7E74" w:rsidRPr="005F7E74" w:rsidTr="003E3F85">
        <w:trPr>
          <w:trHeight w:val="350"/>
          <w:jc w:val="center"/>
        </w:trPr>
        <w:tc>
          <w:tcPr>
            <w:tcW w:w="2751" w:type="dxa"/>
            <w:vMerge w:val="restart"/>
            <w:tcBorders>
              <w:top w:val="single" w:sz="4" w:space="0" w:color="BFBFBF" w:themeColor="background1" w:themeShade="BF"/>
            </w:tcBorders>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lang w:eastAsia="es-ES"/>
              </w:rPr>
              <w:t>Torreón (9%)</w:t>
            </w:r>
          </w:p>
        </w:tc>
        <w:tc>
          <w:tcPr>
            <w:tcW w:w="3688" w:type="dxa"/>
            <w:tcBorders>
              <w:top w:val="single" w:sz="4" w:space="0" w:color="BFBFBF" w:themeColor="background1" w:themeShade="BF"/>
            </w:tcBorders>
            <w:shd w:val="clear" w:color="auto" w:fill="auto"/>
            <w:noWrap/>
          </w:tcPr>
          <w:p w:rsidR="005F7E74" w:rsidRPr="005F7E74" w:rsidRDefault="005F7E74" w:rsidP="005F7E74">
            <w:pPr>
              <w:spacing w:after="0" w:line="240" w:lineRule="auto"/>
              <w:jc w:val="both"/>
              <w:rPr>
                <w:rFonts w:ascii="Arial" w:eastAsia="Times New Roman" w:hAnsi="Arial" w:cs="Arial"/>
                <w:color w:val="000000"/>
                <w:szCs w:val="24"/>
                <w:lang w:eastAsia="es-ES"/>
              </w:rPr>
            </w:pPr>
            <w:r w:rsidRPr="005F7E74">
              <w:rPr>
                <w:rFonts w:ascii="Arial" w:eastAsia="Times New Roman" w:hAnsi="Arial" w:cs="Arial"/>
                <w:szCs w:val="24"/>
                <w:lang w:eastAsia="es-ES"/>
              </w:rPr>
              <w:t>Camionetas y</w:t>
            </w:r>
            <w:r w:rsidRPr="005F7E74">
              <w:rPr>
                <w:rFonts w:ascii="Arial" w:eastAsia="Times New Roman" w:hAnsi="Arial" w:cs="Arial"/>
                <w:i/>
                <w:szCs w:val="24"/>
                <w:lang w:eastAsia="es-ES"/>
              </w:rPr>
              <w:t xml:space="preserve"> pick up</w:t>
            </w:r>
          </w:p>
        </w:tc>
        <w:tc>
          <w:tcPr>
            <w:tcW w:w="2321" w:type="dxa"/>
            <w:tcBorders>
              <w:top w:val="single" w:sz="4" w:space="0" w:color="BFBFBF" w:themeColor="background1" w:themeShade="BF"/>
            </w:tcBorders>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39.62</w:t>
            </w:r>
          </w:p>
        </w:tc>
      </w:tr>
      <w:tr w:rsidR="005F7E74" w:rsidRPr="005F7E74" w:rsidTr="003E3F85">
        <w:trPr>
          <w:trHeight w:val="240"/>
          <w:jc w:val="center"/>
        </w:trPr>
        <w:tc>
          <w:tcPr>
            <w:tcW w:w="2751" w:type="dxa"/>
            <w:vMerge/>
            <w:shd w:val="clear" w:color="auto" w:fill="auto"/>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tcPr>
          <w:p w:rsidR="005F7E74" w:rsidRPr="005F7E74" w:rsidRDefault="005F7E74" w:rsidP="005F7E74">
            <w:pPr>
              <w:spacing w:after="0" w:line="240" w:lineRule="auto"/>
              <w:jc w:val="both"/>
              <w:rPr>
                <w:rFonts w:ascii="Arial" w:eastAsia="Times New Roman" w:hAnsi="Arial" w:cs="Arial"/>
                <w:color w:val="000000"/>
                <w:szCs w:val="24"/>
                <w:lang w:eastAsia="es-ES"/>
              </w:rPr>
            </w:pPr>
            <w:r w:rsidRPr="005F7E74">
              <w:rPr>
                <w:rFonts w:ascii="Arial" w:eastAsia="Times New Roman" w:hAnsi="Arial" w:cs="Arial"/>
                <w:szCs w:val="24"/>
                <w:lang w:eastAsia="es-ES"/>
              </w:rPr>
              <w:t>Autos particulares y taxis</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38.30</w:t>
            </w:r>
          </w:p>
        </w:tc>
      </w:tr>
      <w:tr w:rsidR="005F7E74" w:rsidRPr="005F7E74" w:rsidTr="003E3F85">
        <w:trPr>
          <w:trHeight w:val="240"/>
          <w:jc w:val="center"/>
        </w:trPr>
        <w:tc>
          <w:tcPr>
            <w:tcW w:w="2751" w:type="dxa"/>
            <w:vMerge/>
            <w:shd w:val="clear" w:color="auto" w:fill="auto"/>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tcPr>
          <w:p w:rsidR="005F7E74" w:rsidRPr="005F7E74" w:rsidRDefault="005F7E74" w:rsidP="005F7E74">
            <w:pPr>
              <w:spacing w:after="0" w:line="240" w:lineRule="auto"/>
              <w:jc w:val="both"/>
              <w:rPr>
                <w:rFonts w:ascii="Arial" w:eastAsia="Times New Roman" w:hAnsi="Arial" w:cs="Arial"/>
                <w:color w:val="000000"/>
                <w:szCs w:val="24"/>
                <w:lang w:eastAsia="es-ES"/>
              </w:rPr>
            </w:pPr>
            <w:proofErr w:type="spellStart"/>
            <w:r w:rsidRPr="005F7E74">
              <w:rPr>
                <w:rFonts w:ascii="Arial" w:eastAsia="Times New Roman" w:hAnsi="Arial" w:cs="Arial"/>
                <w:szCs w:val="24"/>
                <w:lang w:eastAsia="es-ES"/>
              </w:rPr>
              <w:t>Veh</w:t>
            </w:r>
            <w:proofErr w:type="spellEnd"/>
            <w:r w:rsidRPr="005F7E74">
              <w:rPr>
                <w:rFonts w:ascii="Arial" w:eastAsia="Times New Roman" w:hAnsi="Arial" w:cs="Arial"/>
                <w:szCs w:val="24"/>
                <w:lang w:eastAsia="es-ES"/>
              </w:rPr>
              <w:t xml:space="preserve"> &lt; 3 Ton</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7.53</w:t>
            </w:r>
          </w:p>
        </w:tc>
      </w:tr>
      <w:tr w:rsidR="005F7E74" w:rsidRPr="005F7E74" w:rsidTr="003E3F85">
        <w:trPr>
          <w:trHeight w:val="240"/>
          <w:jc w:val="center"/>
        </w:trPr>
        <w:tc>
          <w:tcPr>
            <w:tcW w:w="2751" w:type="dxa"/>
            <w:vMerge/>
            <w:shd w:val="clear" w:color="auto" w:fill="auto"/>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tcPr>
          <w:p w:rsidR="005F7E74" w:rsidRPr="005F7E74" w:rsidRDefault="005F7E74" w:rsidP="005F7E74">
            <w:pPr>
              <w:spacing w:after="0" w:line="240" w:lineRule="auto"/>
              <w:jc w:val="both"/>
              <w:rPr>
                <w:rFonts w:ascii="Arial" w:eastAsia="Times New Roman" w:hAnsi="Arial" w:cs="Arial"/>
                <w:color w:val="000000"/>
                <w:szCs w:val="24"/>
                <w:lang w:eastAsia="es-ES"/>
              </w:rPr>
            </w:pPr>
            <w:r w:rsidRPr="005F7E74">
              <w:rPr>
                <w:rFonts w:ascii="Arial" w:eastAsia="Times New Roman" w:hAnsi="Arial" w:cs="Arial"/>
                <w:szCs w:val="24"/>
                <w:lang w:eastAsia="es-ES"/>
              </w:rPr>
              <w:t>Uso doméstico de solventes</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4.03</w:t>
            </w:r>
          </w:p>
        </w:tc>
      </w:tr>
      <w:tr w:rsidR="005F7E74" w:rsidRPr="005F7E74" w:rsidTr="003E3F85">
        <w:trPr>
          <w:trHeight w:val="287"/>
          <w:jc w:val="center"/>
        </w:trPr>
        <w:tc>
          <w:tcPr>
            <w:tcW w:w="2751" w:type="dxa"/>
            <w:vMerge/>
            <w:shd w:val="clear" w:color="auto" w:fill="auto"/>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tcPr>
          <w:p w:rsidR="005F7E74" w:rsidRPr="005F7E74" w:rsidRDefault="005F7E74" w:rsidP="005F7E74">
            <w:pPr>
              <w:spacing w:after="0" w:line="240" w:lineRule="auto"/>
              <w:jc w:val="both"/>
              <w:rPr>
                <w:rFonts w:ascii="Arial" w:eastAsia="Times New Roman" w:hAnsi="Arial" w:cs="Arial"/>
                <w:color w:val="000000"/>
                <w:szCs w:val="24"/>
                <w:lang w:eastAsia="es-ES"/>
              </w:rPr>
            </w:pPr>
            <w:r w:rsidRPr="005F7E74">
              <w:rPr>
                <w:rFonts w:ascii="Arial" w:eastAsia="Times New Roman" w:hAnsi="Arial" w:cs="Arial"/>
                <w:szCs w:val="24"/>
                <w:lang w:eastAsia="es-ES"/>
              </w:rPr>
              <w:t>Metálico</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4.01</w:t>
            </w:r>
          </w:p>
        </w:tc>
      </w:tr>
      <w:tr w:rsidR="005F7E74" w:rsidRPr="005F7E74" w:rsidTr="003E3F85">
        <w:trPr>
          <w:trHeight w:val="240"/>
          <w:jc w:val="center"/>
        </w:trPr>
        <w:tc>
          <w:tcPr>
            <w:tcW w:w="2751" w:type="dxa"/>
            <w:vMerge w:val="restart"/>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lang w:eastAsia="es-ES"/>
              </w:rPr>
              <w:t>Ramos Arizpe (8%)</w:t>
            </w:r>
          </w:p>
        </w:tc>
        <w:tc>
          <w:tcPr>
            <w:tcW w:w="3688" w:type="dxa"/>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Uso doméstico de solventes</w:t>
            </w:r>
          </w:p>
        </w:tc>
        <w:tc>
          <w:tcPr>
            <w:tcW w:w="2321" w:type="dxa"/>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32.45</w:t>
            </w:r>
          </w:p>
        </w:tc>
      </w:tr>
      <w:tr w:rsidR="005F7E74" w:rsidRPr="005F7E74" w:rsidTr="003E3F85">
        <w:trPr>
          <w:trHeight w:val="269"/>
          <w:jc w:val="center"/>
        </w:trPr>
        <w:tc>
          <w:tcPr>
            <w:tcW w:w="2751" w:type="dxa"/>
            <w:vMerge/>
            <w:shd w:val="clear" w:color="auto" w:fill="EAF1DD" w:themeFill="accent3" w:themeFillTint="33"/>
            <w:vAlign w:val="center"/>
          </w:tcPr>
          <w:p w:rsidR="005F7E74" w:rsidRPr="005F7E74" w:rsidRDefault="005F7E74" w:rsidP="005F7E74">
            <w:pPr>
              <w:spacing w:after="0" w:line="240" w:lineRule="auto"/>
              <w:jc w:val="both"/>
              <w:rPr>
                <w:rFonts w:ascii="Arial" w:eastAsia="Times New Roman" w:hAnsi="Arial" w:cs="Arial"/>
                <w:color w:val="5F497A" w:themeColor="accent4" w:themeShade="BF"/>
                <w:sz w:val="24"/>
                <w:szCs w:val="24"/>
                <w:lang w:eastAsia="es-ES"/>
              </w:rPr>
            </w:pPr>
          </w:p>
        </w:tc>
        <w:tc>
          <w:tcPr>
            <w:tcW w:w="3688" w:type="dxa"/>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Artes gráficas</w:t>
            </w:r>
          </w:p>
        </w:tc>
        <w:tc>
          <w:tcPr>
            <w:tcW w:w="2321" w:type="dxa"/>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17.44</w:t>
            </w:r>
          </w:p>
        </w:tc>
      </w:tr>
      <w:tr w:rsidR="005F7E74" w:rsidRPr="005F7E74" w:rsidTr="003E3F85">
        <w:trPr>
          <w:trHeight w:val="240"/>
          <w:jc w:val="center"/>
        </w:trPr>
        <w:tc>
          <w:tcPr>
            <w:tcW w:w="2751" w:type="dxa"/>
            <w:vMerge/>
            <w:shd w:val="clear" w:color="auto" w:fill="EAF1DD" w:themeFill="accent3" w:themeFillTint="33"/>
            <w:vAlign w:val="center"/>
          </w:tcPr>
          <w:p w:rsidR="005F7E74" w:rsidRPr="005F7E74" w:rsidRDefault="005F7E74" w:rsidP="005F7E74">
            <w:pPr>
              <w:spacing w:after="0" w:line="240" w:lineRule="auto"/>
              <w:jc w:val="both"/>
              <w:rPr>
                <w:rFonts w:ascii="Arial" w:eastAsia="Times New Roman" w:hAnsi="Arial" w:cs="Arial"/>
                <w:color w:val="5F497A" w:themeColor="accent4" w:themeShade="BF"/>
                <w:sz w:val="24"/>
                <w:szCs w:val="24"/>
                <w:lang w:eastAsia="es-ES"/>
              </w:rPr>
            </w:pPr>
          </w:p>
        </w:tc>
        <w:tc>
          <w:tcPr>
            <w:tcW w:w="3688" w:type="dxa"/>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Automotriz</w:t>
            </w:r>
          </w:p>
        </w:tc>
        <w:tc>
          <w:tcPr>
            <w:tcW w:w="2321" w:type="dxa"/>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17.31</w:t>
            </w:r>
          </w:p>
        </w:tc>
      </w:tr>
      <w:tr w:rsidR="005F7E74" w:rsidRPr="005F7E74" w:rsidTr="003E3F85">
        <w:trPr>
          <w:trHeight w:val="413"/>
          <w:jc w:val="center"/>
        </w:trPr>
        <w:tc>
          <w:tcPr>
            <w:tcW w:w="2751" w:type="dxa"/>
            <w:vMerge/>
            <w:shd w:val="clear" w:color="auto" w:fill="EAF1DD" w:themeFill="accent3" w:themeFillTint="33"/>
            <w:vAlign w:val="center"/>
          </w:tcPr>
          <w:p w:rsidR="005F7E74" w:rsidRPr="005F7E74" w:rsidRDefault="005F7E74" w:rsidP="005F7E74">
            <w:pPr>
              <w:spacing w:after="0" w:line="240" w:lineRule="auto"/>
              <w:jc w:val="both"/>
              <w:rPr>
                <w:rFonts w:ascii="Arial" w:eastAsia="Times New Roman" w:hAnsi="Arial" w:cs="Arial"/>
                <w:color w:val="5F497A" w:themeColor="accent4" w:themeShade="BF"/>
                <w:sz w:val="24"/>
                <w:szCs w:val="24"/>
                <w:lang w:eastAsia="es-ES"/>
              </w:rPr>
            </w:pPr>
          </w:p>
        </w:tc>
        <w:tc>
          <w:tcPr>
            <w:tcW w:w="3688" w:type="dxa"/>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 xml:space="preserve">Camionetas y </w:t>
            </w:r>
            <w:r w:rsidRPr="005F7E74">
              <w:rPr>
                <w:rFonts w:ascii="Arial" w:eastAsia="Times New Roman" w:hAnsi="Arial" w:cs="Arial"/>
                <w:i/>
                <w:color w:val="000000"/>
                <w:lang w:eastAsia="es-ES"/>
              </w:rPr>
              <w:t>pick up</w:t>
            </w:r>
          </w:p>
        </w:tc>
        <w:tc>
          <w:tcPr>
            <w:tcW w:w="2321" w:type="dxa"/>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6.58</w:t>
            </w:r>
          </w:p>
        </w:tc>
      </w:tr>
      <w:tr w:rsidR="005F7E74" w:rsidRPr="005F7E74" w:rsidTr="003E3F85">
        <w:trPr>
          <w:trHeight w:val="278"/>
          <w:jc w:val="center"/>
        </w:trPr>
        <w:tc>
          <w:tcPr>
            <w:tcW w:w="2751" w:type="dxa"/>
            <w:vMerge w:val="restart"/>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lang w:eastAsia="es-ES"/>
              </w:rPr>
              <w:t>Monclova (8%)</w:t>
            </w: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proofErr w:type="spellStart"/>
            <w:r w:rsidRPr="005F7E74">
              <w:rPr>
                <w:rFonts w:ascii="Arial" w:eastAsia="Times New Roman" w:hAnsi="Arial" w:cs="Arial"/>
                <w:color w:val="000000"/>
                <w:lang w:eastAsia="es-ES"/>
              </w:rPr>
              <w:t>Limp</w:t>
            </w:r>
            <w:proofErr w:type="spellEnd"/>
            <w:r w:rsidRPr="005F7E74">
              <w:rPr>
                <w:rFonts w:ascii="Arial" w:eastAsia="Times New Roman" w:hAnsi="Arial" w:cs="Arial"/>
                <w:color w:val="000000"/>
                <w:lang w:eastAsia="es-ES"/>
              </w:rPr>
              <w:t xml:space="preserve">. </w:t>
            </w:r>
            <w:proofErr w:type="spellStart"/>
            <w:r w:rsidRPr="005F7E74">
              <w:rPr>
                <w:rFonts w:ascii="Arial" w:eastAsia="Times New Roman" w:hAnsi="Arial" w:cs="Arial"/>
                <w:color w:val="000000"/>
                <w:lang w:eastAsia="es-ES"/>
              </w:rPr>
              <w:t>Sup</w:t>
            </w:r>
            <w:proofErr w:type="spellEnd"/>
            <w:r w:rsidRPr="005F7E74">
              <w:rPr>
                <w:rFonts w:ascii="Arial" w:eastAsia="Times New Roman" w:hAnsi="Arial" w:cs="Arial"/>
                <w:color w:val="000000"/>
                <w:lang w:eastAsia="es-ES"/>
              </w:rPr>
              <w:t>. Industriales</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45.37</w:t>
            </w:r>
          </w:p>
        </w:tc>
      </w:tr>
      <w:tr w:rsidR="005F7E74" w:rsidRPr="005F7E74" w:rsidTr="003E3F85">
        <w:trPr>
          <w:trHeight w:val="260"/>
          <w:jc w:val="center"/>
        </w:trPr>
        <w:tc>
          <w:tcPr>
            <w:tcW w:w="2751" w:type="dxa"/>
            <w:vMerge/>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 xml:space="preserve">Camionetas y </w:t>
            </w:r>
            <w:r w:rsidRPr="005F7E74">
              <w:rPr>
                <w:rFonts w:ascii="Arial" w:eastAsia="Times New Roman" w:hAnsi="Arial" w:cs="Arial"/>
                <w:i/>
                <w:color w:val="000000"/>
                <w:lang w:eastAsia="es-ES"/>
              </w:rPr>
              <w:t>pick up</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20.60</w:t>
            </w:r>
          </w:p>
        </w:tc>
      </w:tr>
      <w:tr w:rsidR="005F7E74" w:rsidRPr="005F7E74" w:rsidTr="003E3F85">
        <w:trPr>
          <w:trHeight w:val="296"/>
          <w:jc w:val="center"/>
        </w:trPr>
        <w:tc>
          <w:tcPr>
            <w:tcW w:w="2751" w:type="dxa"/>
            <w:vMerge/>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Autos particulares y taxis</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15.08</w:t>
            </w:r>
          </w:p>
        </w:tc>
      </w:tr>
      <w:tr w:rsidR="005F7E74" w:rsidRPr="005F7E74" w:rsidTr="003E3F85">
        <w:trPr>
          <w:trHeight w:val="296"/>
          <w:jc w:val="center"/>
        </w:trPr>
        <w:tc>
          <w:tcPr>
            <w:tcW w:w="2751" w:type="dxa"/>
            <w:vMerge/>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Petróleo y petroquímica</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5.59</w:t>
            </w:r>
          </w:p>
        </w:tc>
      </w:tr>
      <w:tr w:rsidR="005F7E74" w:rsidRPr="005F7E74" w:rsidTr="003E3F85">
        <w:trPr>
          <w:trHeight w:val="296"/>
          <w:jc w:val="center"/>
        </w:trPr>
        <w:tc>
          <w:tcPr>
            <w:tcW w:w="2751" w:type="dxa"/>
            <w:vMerge/>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Panificación</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sz w:val="24"/>
                <w:szCs w:val="24"/>
                <w:lang w:eastAsia="es-ES"/>
              </w:rPr>
            </w:pPr>
            <w:r w:rsidRPr="005F7E74">
              <w:rPr>
                <w:rFonts w:ascii="Arial" w:eastAsia="Times New Roman" w:hAnsi="Arial" w:cs="Arial"/>
                <w:color w:val="000000"/>
                <w:lang w:eastAsia="es-ES"/>
              </w:rPr>
              <w:t>5.59</w:t>
            </w:r>
          </w:p>
        </w:tc>
      </w:tr>
      <w:tr w:rsidR="005F7E74" w:rsidRPr="005F7E74" w:rsidTr="003E3F85">
        <w:trPr>
          <w:trHeight w:val="296"/>
          <w:jc w:val="center"/>
        </w:trPr>
        <w:tc>
          <w:tcPr>
            <w:tcW w:w="2751" w:type="dxa"/>
            <w:vMerge/>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proofErr w:type="spellStart"/>
            <w:r w:rsidRPr="005F7E74">
              <w:rPr>
                <w:rFonts w:ascii="Arial" w:eastAsia="Times New Roman" w:hAnsi="Arial" w:cs="Arial"/>
                <w:color w:val="000000"/>
                <w:lang w:eastAsia="es-ES"/>
              </w:rPr>
              <w:t>Veh</w:t>
            </w:r>
            <w:proofErr w:type="spellEnd"/>
            <w:r w:rsidRPr="005F7E74">
              <w:rPr>
                <w:rFonts w:ascii="Arial" w:eastAsia="Times New Roman" w:hAnsi="Arial" w:cs="Arial"/>
                <w:color w:val="000000"/>
                <w:lang w:eastAsia="es-ES"/>
              </w:rPr>
              <w:t xml:space="preserve"> &lt; 3 Ton</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3.32</w:t>
            </w:r>
          </w:p>
        </w:tc>
      </w:tr>
      <w:tr w:rsidR="005F7E74" w:rsidRPr="005F7E74" w:rsidTr="003E3F85">
        <w:trPr>
          <w:trHeight w:val="296"/>
          <w:jc w:val="center"/>
        </w:trPr>
        <w:tc>
          <w:tcPr>
            <w:tcW w:w="2751" w:type="dxa"/>
            <w:vMerge w:val="restart"/>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lang w:eastAsia="es-ES"/>
              </w:rPr>
              <w:t>Sierra Mojada (7%)</w:t>
            </w:r>
          </w:p>
        </w:tc>
        <w:tc>
          <w:tcPr>
            <w:tcW w:w="3688" w:type="dxa"/>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Metalúrgica (incluye la siderúrgica)</w:t>
            </w:r>
          </w:p>
        </w:tc>
        <w:tc>
          <w:tcPr>
            <w:tcW w:w="2321" w:type="dxa"/>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33.94</w:t>
            </w:r>
          </w:p>
        </w:tc>
      </w:tr>
      <w:tr w:rsidR="005F7E74" w:rsidRPr="005F7E74" w:rsidTr="003E3F85">
        <w:trPr>
          <w:trHeight w:val="296"/>
          <w:jc w:val="center"/>
        </w:trPr>
        <w:tc>
          <w:tcPr>
            <w:tcW w:w="2751" w:type="dxa"/>
            <w:vMerge/>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proofErr w:type="spellStart"/>
            <w:r w:rsidRPr="005F7E74">
              <w:rPr>
                <w:rFonts w:ascii="Arial" w:eastAsia="Times New Roman" w:hAnsi="Arial" w:cs="Arial"/>
                <w:color w:val="000000"/>
                <w:lang w:eastAsia="es-ES"/>
              </w:rPr>
              <w:t>Limp</w:t>
            </w:r>
            <w:proofErr w:type="spellEnd"/>
            <w:r w:rsidRPr="005F7E74">
              <w:rPr>
                <w:rFonts w:ascii="Arial" w:eastAsia="Times New Roman" w:hAnsi="Arial" w:cs="Arial"/>
                <w:color w:val="000000"/>
                <w:lang w:eastAsia="es-ES"/>
              </w:rPr>
              <w:t xml:space="preserve">. </w:t>
            </w:r>
            <w:proofErr w:type="spellStart"/>
            <w:r w:rsidRPr="005F7E74">
              <w:rPr>
                <w:rFonts w:ascii="Arial" w:eastAsia="Times New Roman" w:hAnsi="Arial" w:cs="Arial"/>
                <w:color w:val="000000"/>
                <w:lang w:eastAsia="es-ES"/>
              </w:rPr>
              <w:t>Sup</w:t>
            </w:r>
            <w:proofErr w:type="spellEnd"/>
            <w:r w:rsidRPr="005F7E74">
              <w:rPr>
                <w:rFonts w:ascii="Arial" w:eastAsia="Times New Roman" w:hAnsi="Arial" w:cs="Arial"/>
                <w:color w:val="000000"/>
                <w:lang w:eastAsia="es-ES"/>
              </w:rPr>
              <w:t>. Industriales</w:t>
            </w:r>
          </w:p>
        </w:tc>
        <w:tc>
          <w:tcPr>
            <w:tcW w:w="2321" w:type="dxa"/>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33.94</w:t>
            </w:r>
          </w:p>
        </w:tc>
      </w:tr>
      <w:tr w:rsidR="005F7E74" w:rsidRPr="005F7E74" w:rsidTr="003E3F85">
        <w:trPr>
          <w:trHeight w:val="296"/>
          <w:jc w:val="center"/>
        </w:trPr>
        <w:tc>
          <w:tcPr>
            <w:tcW w:w="2751" w:type="dxa"/>
            <w:vMerge/>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Uso doméstico de solventes</w:t>
            </w:r>
          </w:p>
        </w:tc>
        <w:tc>
          <w:tcPr>
            <w:tcW w:w="2321" w:type="dxa"/>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29.06</w:t>
            </w:r>
          </w:p>
        </w:tc>
      </w:tr>
      <w:tr w:rsidR="005F7E74" w:rsidRPr="005F7E74" w:rsidTr="003E3F85">
        <w:trPr>
          <w:trHeight w:val="296"/>
          <w:jc w:val="center"/>
        </w:trPr>
        <w:tc>
          <w:tcPr>
            <w:tcW w:w="2751" w:type="dxa"/>
            <w:vMerge w:val="restart"/>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lang w:eastAsia="es-ES"/>
              </w:rPr>
              <w:t>Frontera (5%)</w:t>
            </w: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Metalúrgica (incluye la siderúrgica)</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28.98</w:t>
            </w:r>
          </w:p>
        </w:tc>
      </w:tr>
      <w:tr w:rsidR="005F7E74" w:rsidRPr="005F7E74" w:rsidTr="003E3F85">
        <w:trPr>
          <w:trHeight w:val="296"/>
          <w:jc w:val="center"/>
        </w:trPr>
        <w:tc>
          <w:tcPr>
            <w:tcW w:w="2751" w:type="dxa"/>
            <w:vMerge/>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proofErr w:type="spellStart"/>
            <w:r w:rsidRPr="005F7E74">
              <w:rPr>
                <w:rFonts w:ascii="Arial" w:eastAsia="Times New Roman" w:hAnsi="Arial" w:cs="Arial"/>
                <w:color w:val="000000"/>
                <w:lang w:eastAsia="es-ES"/>
              </w:rPr>
              <w:t>Limp</w:t>
            </w:r>
            <w:proofErr w:type="spellEnd"/>
            <w:r w:rsidRPr="005F7E74">
              <w:rPr>
                <w:rFonts w:ascii="Arial" w:eastAsia="Times New Roman" w:hAnsi="Arial" w:cs="Arial"/>
                <w:color w:val="000000"/>
                <w:lang w:eastAsia="es-ES"/>
              </w:rPr>
              <w:t xml:space="preserve">. </w:t>
            </w:r>
            <w:proofErr w:type="spellStart"/>
            <w:r w:rsidRPr="005F7E74">
              <w:rPr>
                <w:rFonts w:ascii="Arial" w:eastAsia="Times New Roman" w:hAnsi="Arial" w:cs="Arial"/>
                <w:color w:val="000000"/>
                <w:lang w:eastAsia="es-ES"/>
              </w:rPr>
              <w:t>Sup</w:t>
            </w:r>
            <w:proofErr w:type="spellEnd"/>
            <w:r w:rsidRPr="005F7E74">
              <w:rPr>
                <w:rFonts w:ascii="Arial" w:eastAsia="Times New Roman" w:hAnsi="Arial" w:cs="Arial"/>
                <w:color w:val="000000"/>
                <w:lang w:eastAsia="es-ES"/>
              </w:rPr>
              <w:t>. Industriales</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28.62</w:t>
            </w:r>
          </w:p>
        </w:tc>
      </w:tr>
      <w:tr w:rsidR="005F7E74" w:rsidRPr="005F7E74" w:rsidTr="003E3F85">
        <w:trPr>
          <w:trHeight w:val="296"/>
          <w:jc w:val="center"/>
        </w:trPr>
        <w:tc>
          <w:tcPr>
            <w:tcW w:w="2751" w:type="dxa"/>
            <w:vMerge/>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Uso doméstico de solventes</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22.65</w:t>
            </w:r>
          </w:p>
        </w:tc>
      </w:tr>
      <w:tr w:rsidR="005F7E74" w:rsidRPr="005F7E74" w:rsidTr="003E3F85">
        <w:trPr>
          <w:trHeight w:val="418"/>
          <w:jc w:val="center"/>
        </w:trPr>
        <w:tc>
          <w:tcPr>
            <w:tcW w:w="2751" w:type="dxa"/>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lang w:eastAsia="es-ES"/>
              </w:rPr>
              <w:t>Piedras Negras (3%)</w:t>
            </w:r>
          </w:p>
        </w:tc>
        <w:tc>
          <w:tcPr>
            <w:tcW w:w="3688" w:type="dxa"/>
            <w:shd w:val="clear" w:color="auto" w:fill="EAF1DD" w:themeFill="accent3" w:themeFillTint="33"/>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 xml:space="preserve">Camionetas y </w:t>
            </w:r>
            <w:r w:rsidRPr="005F7E74">
              <w:rPr>
                <w:rFonts w:ascii="Arial" w:eastAsia="Times New Roman" w:hAnsi="Arial" w:cs="Arial"/>
                <w:i/>
                <w:color w:val="000000"/>
                <w:lang w:eastAsia="es-ES"/>
              </w:rPr>
              <w:t>pick up</w:t>
            </w:r>
          </w:p>
        </w:tc>
        <w:tc>
          <w:tcPr>
            <w:tcW w:w="2321" w:type="dxa"/>
            <w:shd w:val="clear" w:color="auto" w:fill="EAF1DD" w:themeFill="accent3" w:themeFillTint="33"/>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50.30</w:t>
            </w:r>
          </w:p>
        </w:tc>
      </w:tr>
      <w:tr w:rsidR="005F7E74" w:rsidRPr="005F7E74" w:rsidTr="003E3F85">
        <w:trPr>
          <w:trHeight w:val="382"/>
          <w:jc w:val="center"/>
        </w:trPr>
        <w:tc>
          <w:tcPr>
            <w:tcW w:w="2751"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sz w:val="24"/>
                <w:szCs w:val="24"/>
                <w:lang w:eastAsia="es-ES"/>
              </w:rPr>
            </w:pPr>
            <w:r w:rsidRPr="005F7E74">
              <w:rPr>
                <w:rFonts w:ascii="Arial" w:eastAsia="Times New Roman" w:hAnsi="Arial" w:cs="Arial"/>
                <w:lang w:eastAsia="es-ES"/>
              </w:rPr>
              <w:t>Acuña (2%)</w:t>
            </w:r>
          </w:p>
        </w:tc>
        <w:tc>
          <w:tcPr>
            <w:tcW w:w="3688" w:type="dxa"/>
            <w:shd w:val="clear" w:color="auto" w:fill="auto"/>
            <w:noWrap/>
            <w:vAlign w:val="center"/>
          </w:tcPr>
          <w:p w:rsidR="005F7E74" w:rsidRPr="005F7E74" w:rsidRDefault="005F7E74" w:rsidP="005F7E74">
            <w:pPr>
              <w:spacing w:after="0" w:line="240" w:lineRule="auto"/>
              <w:jc w:val="both"/>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 xml:space="preserve">Camionetas y </w:t>
            </w:r>
            <w:r w:rsidRPr="005F7E74">
              <w:rPr>
                <w:rFonts w:ascii="Arial" w:eastAsia="Times New Roman" w:hAnsi="Arial" w:cs="Arial"/>
                <w:i/>
                <w:color w:val="000000"/>
                <w:lang w:eastAsia="es-ES"/>
              </w:rPr>
              <w:t>pick up</w:t>
            </w:r>
          </w:p>
        </w:tc>
        <w:tc>
          <w:tcPr>
            <w:tcW w:w="2321" w:type="dxa"/>
            <w:shd w:val="clear" w:color="auto" w:fill="auto"/>
            <w:noWrap/>
            <w:vAlign w:val="center"/>
          </w:tcPr>
          <w:p w:rsidR="005F7E74" w:rsidRPr="005F7E74" w:rsidRDefault="005F7E74" w:rsidP="005F7E74">
            <w:pPr>
              <w:spacing w:after="0" w:line="240" w:lineRule="auto"/>
              <w:ind w:right="771"/>
              <w:jc w:val="right"/>
              <w:rPr>
                <w:rFonts w:ascii="Arial" w:eastAsia="Times New Roman" w:hAnsi="Arial" w:cs="Arial"/>
                <w:color w:val="000000"/>
                <w:sz w:val="24"/>
                <w:szCs w:val="24"/>
                <w:lang w:eastAsia="es-ES"/>
              </w:rPr>
            </w:pPr>
            <w:r w:rsidRPr="005F7E74">
              <w:rPr>
                <w:rFonts w:ascii="Arial" w:eastAsia="Times New Roman" w:hAnsi="Arial" w:cs="Arial"/>
                <w:color w:val="000000"/>
                <w:lang w:eastAsia="es-ES"/>
              </w:rPr>
              <w:t>43.60</w:t>
            </w:r>
          </w:p>
        </w:tc>
      </w:tr>
      <w:tr w:rsidR="005F7E74" w:rsidRPr="005F7E74" w:rsidTr="003E3F85">
        <w:trPr>
          <w:trHeight w:val="1736"/>
          <w:jc w:val="center"/>
        </w:trPr>
        <w:tc>
          <w:tcPr>
            <w:tcW w:w="8760" w:type="dxa"/>
            <w:gridSpan w:val="3"/>
            <w:shd w:val="clear" w:color="auto" w:fill="008000"/>
            <w:noWrap/>
            <w:vAlign w:val="center"/>
          </w:tcPr>
          <w:p w:rsidR="005F7E74" w:rsidRPr="005F7E74" w:rsidRDefault="005F7E74" w:rsidP="005F7E74">
            <w:pPr>
              <w:numPr>
                <w:ilvl w:val="0"/>
                <w:numId w:val="1"/>
              </w:numPr>
              <w:spacing w:before="2" w:after="2" w:line="240" w:lineRule="auto"/>
              <w:contextualSpacing/>
              <w:jc w:val="both"/>
              <w:rPr>
                <w:rFonts w:ascii="Arial" w:eastAsia="Times New Roman" w:hAnsi="Arial" w:cs="Arial"/>
                <w:color w:val="FFFFFF" w:themeColor="background1"/>
                <w:lang w:eastAsia="es-ES"/>
              </w:rPr>
            </w:pPr>
            <w:r w:rsidRPr="005F7E74">
              <w:rPr>
                <w:rFonts w:ascii="Arial" w:eastAsia="Times New Roman" w:hAnsi="Arial" w:cs="Arial"/>
                <w:color w:val="FFFFFF" w:themeColor="background1"/>
                <w:lang w:eastAsia="es-ES"/>
              </w:rPr>
              <w:t>En 8 municipios se genera el 89% de las emisiones de COV, proveniente principalmente de los vehículos automotores, la industria metalúrgica y consumo de solventes en diversas fuentes de área.</w:t>
            </w:r>
          </w:p>
          <w:p w:rsidR="005F7E74" w:rsidRPr="005F7E74" w:rsidRDefault="005F7E74" w:rsidP="005F7E74">
            <w:pPr>
              <w:numPr>
                <w:ilvl w:val="0"/>
                <w:numId w:val="1"/>
              </w:numPr>
              <w:spacing w:before="2" w:after="2" w:line="240" w:lineRule="auto"/>
              <w:contextualSpacing/>
              <w:jc w:val="both"/>
              <w:rPr>
                <w:rFonts w:ascii="Arial" w:eastAsia="Times New Roman" w:hAnsi="Arial" w:cs="Arial"/>
                <w:color w:val="FFFFFF" w:themeColor="background1"/>
                <w:lang w:eastAsia="es-ES"/>
              </w:rPr>
            </w:pPr>
            <w:r w:rsidRPr="005F7E74">
              <w:rPr>
                <w:rFonts w:ascii="Arial" w:eastAsia="Times New Roman" w:hAnsi="Arial" w:cs="Arial"/>
                <w:color w:val="FFFFFF" w:themeColor="background1"/>
                <w:lang w:eastAsia="es-ES"/>
              </w:rPr>
              <w:t>Y en los 30 municipios restantes se genera el 11% de este contaminante.</w:t>
            </w:r>
          </w:p>
        </w:tc>
      </w:tr>
    </w:tbl>
    <w:p w:rsidR="005F7E74" w:rsidRPr="005F7E74" w:rsidRDefault="005F7E74" w:rsidP="005F7E74">
      <w:pPr>
        <w:widowControl w:val="0"/>
        <w:tabs>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20" w:right="49" w:hanging="630"/>
        <w:jc w:val="both"/>
        <w:rPr>
          <w:rFonts w:ascii="Arial" w:eastAsia="Times New Roman" w:hAnsi="Arial" w:cs="Arial"/>
          <w:sz w:val="20"/>
          <w:szCs w:val="20"/>
          <w:lang w:eastAsia="es-ES"/>
        </w:rPr>
      </w:pPr>
      <w:r w:rsidRPr="005F7E74">
        <w:rPr>
          <w:rFonts w:ascii="Arial" w:eastAsia="Times New Roman" w:hAnsi="Arial" w:cs="Arial"/>
          <w:b/>
          <w:sz w:val="20"/>
          <w:szCs w:val="20"/>
          <w:lang w:eastAsia="es-ES"/>
        </w:rPr>
        <w:t>Fuente:</w:t>
      </w:r>
      <w:r w:rsidRPr="005F7E74">
        <w:rPr>
          <w:rFonts w:ascii="Arial" w:eastAsia="Times New Roman" w:hAnsi="Arial" w:cs="Arial"/>
          <w:sz w:val="20"/>
          <w:szCs w:val="20"/>
          <w:lang w:eastAsia="es-ES"/>
        </w:rPr>
        <w:t xml:space="preserve"> LT </w:t>
      </w:r>
      <w:proofErr w:type="spellStart"/>
      <w:r w:rsidRPr="005F7E74">
        <w:rPr>
          <w:rFonts w:ascii="Arial" w:eastAsia="Times New Roman" w:hAnsi="Arial" w:cs="Arial"/>
          <w:sz w:val="20"/>
          <w:szCs w:val="20"/>
          <w:lang w:eastAsia="es-ES"/>
        </w:rPr>
        <w:t>Consulting</w:t>
      </w:r>
      <w:proofErr w:type="spellEnd"/>
      <w:r w:rsidRPr="005F7E74">
        <w:rPr>
          <w:rFonts w:ascii="Arial" w:eastAsia="Times New Roman" w:hAnsi="Arial" w:cs="Arial"/>
          <w:sz w:val="20"/>
          <w:szCs w:val="20"/>
          <w:lang w:eastAsia="es-ES"/>
        </w:rPr>
        <w:t>, 2017. Información del Inventario de Emisiones Contaminantes a la Atmósfera para el Estado de Coahuila.</w:t>
      </w:r>
    </w:p>
    <w:p w:rsidR="005F7E74" w:rsidRPr="005F7E74" w:rsidRDefault="005F7E74" w:rsidP="005F7E74">
      <w:pPr>
        <w:spacing w:after="0" w:line="240" w:lineRule="auto"/>
        <w:jc w:val="both"/>
        <w:rPr>
          <w:rFonts w:ascii="Arial" w:eastAsia="Times New Roman" w:hAnsi="Arial" w:cs="Arial"/>
          <w:sz w:val="18"/>
          <w:szCs w:val="16"/>
          <w:lang w:eastAsia="es-ES"/>
        </w:rPr>
      </w:pPr>
      <w:r w:rsidRPr="005F7E74">
        <w:rPr>
          <w:rFonts w:ascii="Arial" w:eastAsia="Times New Roman" w:hAnsi="Arial" w:cs="Arial"/>
          <w:sz w:val="18"/>
          <w:szCs w:val="16"/>
          <w:lang w:eastAsia="es-ES"/>
        </w:rPr>
        <w:br w:type="page"/>
      </w:r>
    </w:p>
    <w:p w:rsidR="005F7E74" w:rsidRDefault="005F7E74">
      <w:bookmarkStart w:id="18" w:name="_GoBack"/>
      <w:bookmarkEnd w:id="18"/>
    </w:p>
    <w:sectPr w:rsidR="005F7E7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134F1"/>
    <w:multiLevelType w:val="hybridMultilevel"/>
    <w:tmpl w:val="6968197E"/>
    <w:lvl w:ilvl="0" w:tplc="B00407EC">
      <w:start w:val="1"/>
      <w:numFmt w:val="bullet"/>
      <w:lvlText w:val=""/>
      <w:lvlJc w:val="left"/>
      <w:pPr>
        <w:ind w:left="720" w:hanging="360"/>
      </w:pPr>
      <w:rPr>
        <w:rFonts w:ascii="Symbol" w:hAnsi="Symbol" w:hint="default"/>
      </w:rPr>
    </w:lvl>
    <w:lvl w:ilvl="1" w:tplc="25D4AA52" w:tentative="1">
      <w:start w:val="1"/>
      <w:numFmt w:val="bullet"/>
      <w:lvlText w:val="o"/>
      <w:lvlJc w:val="left"/>
      <w:pPr>
        <w:ind w:left="1440" w:hanging="360"/>
      </w:pPr>
      <w:rPr>
        <w:rFonts w:ascii="Courier New" w:hAnsi="Courier New" w:cs="Courier New" w:hint="default"/>
      </w:rPr>
    </w:lvl>
    <w:lvl w:ilvl="2" w:tplc="A75CF3D2" w:tentative="1">
      <w:start w:val="1"/>
      <w:numFmt w:val="bullet"/>
      <w:lvlText w:val=""/>
      <w:lvlJc w:val="left"/>
      <w:pPr>
        <w:ind w:left="2160" w:hanging="360"/>
      </w:pPr>
      <w:rPr>
        <w:rFonts w:ascii="Wingdings" w:hAnsi="Wingdings" w:hint="default"/>
      </w:rPr>
    </w:lvl>
    <w:lvl w:ilvl="3" w:tplc="5DDC2E9E" w:tentative="1">
      <w:start w:val="1"/>
      <w:numFmt w:val="bullet"/>
      <w:lvlText w:val=""/>
      <w:lvlJc w:val="left"/>
      <w:pPr>
        <w:ind w:left="2880" w:hanging="360"/>
      </w:pPr>
      <w:rPr>
        <w:rFonts w:ascii="Symbol" w:hAnsi="Symbol" w:hint="default"/>
      </w:rPr>
    </w:lvl>
    <w:lvl w:ilvl="4" w:tplc="D1543A0E" w:tentative="1">
      <w:start w:val="1"/>
      <w:numFmt w:val="bullet"/>
      <w:lvlText w:val="o"/>
      <w:lvlJc w:val="left"/>
      <w:pPr>
        <w:ind w:left="3600" w:hanging="360"/>
      </w:pPr>
      <w:rPr>
        <w:rFonts w:ascii="Courier New" w:hAnsi="Courier New" w:cs="Courier New" w:hint="default"/>
      </w:rPr>
    </w:lvl>
    <w:lvl w:ilvl="5" w:tplc="A528701C" w:tentative="1">
      <w:start w:val="1"/>
      <w:numFmt w:val="bullet"/>
      <w:lvlText w:val=""/>
      <w:lvlJc w:val="left"/>
      <w:pPr>
        <w:ind w:left="4320" w:hanging="360"/>
      </w:pPr>
      <w:rPr>
        <w:rFonts w:ascii="Wingdings" w:hAnsi="Wingdings" w:hint="default"/>
      </w:rPr>
    </w:lvl>
    <w:lvl w:ilvl="6" w:tplc="4A62F398" w:tentative="1">
      <w:start w:val="1"/>
      <w:numFmt w:val="bullet"/>
      <w:lvlText w:val=""/>
      <w:lvlJc w:val="left"/>
      <w:pPr>
        <w:ind w:left="5040" w:hanging="360"/>
      </w:pPr>
      <w:rPr>
        <w:rFonts w:ascii="Symbol" w:hAnsi="Symbol" w:hint="default"/>
      </w:rPr>
    </w:lvl>
    <w:lvl w:ilvl="7" w:tplc="C7FE1852" w:tentative="1">
      <w:start w:val="1"/>
      <w:numFmt w:val="bullet"/>
      <w:lvlText w:val="o"/>
      <w:lvlJc w:val="left"/>
      <w:pPr>
        <w:ind w:left="5760" w:hanging="360"/>
      </w:pPr>
      <w:rPr>
        <w:rFonts w:ascii="Courier New" w:hAnsi="Courier New" w:cs="Courier New" w:hint="default"/>
      </w:rPr>
    </w:lvl>
    <w:lvl w:ilvl="8" w:tplc="86AE5528"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E74"/>
    <w:rsid w:val="0055671B"/>
    <w:rsid w:val="005F7E74"/>
    <w:rsid w:val="008B14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F7E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7E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F7E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7E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Guadalupe\Desktop\Proaires\Capitulo%20Coahuila%20PROAIRE\Indicadores\PM10%202012-2016%20Coahuila.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GuadalupeT\Desktop\Proaires\Capitulo%20Coahuila%20PROAIRE\Indicadores\PM25%202012-2016%20Coahuila.xls"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Guadalupe\Desktop\Proaires\Capitulo%20Coahuila%20PROAIRE\Indicadores\Ozono%202012-2016%20Coahuila.xls"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Guadalupe\Desktop\Proaires\Capitulo%20Coahuila%20PROAIRE\Indicadores\NO2%202012-2016%20Coahuila.xls"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Guadalupe\Desktop\Proaires\Capitulo%20Coahuila%20PROAIRE\Indicadores\CO%202012-2016%20Coahuila.xls"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Hoja1!$B$1</c:f>
              <c:strCache>
                <c:ptCount val="1"/>
                <c:pt idx="0">
                  <c:v>Miles de vehículos</c:v>
                </c:pt>
              </c:strCache>
            </c:strRef>
          </c:tx>
          <c:spPr>
            <a:solidFill>
              <a:srgbClr val="008000"/>
            </a:solidFill>
            <a:ln>
              <a:noFill/>
            </a:ln>
            <a:effectLst/>
          </c:spPr>
          <c:invertIfNegative val="0"/>
          <c:dLbls>
            <c:spPr>
              <a:noFill/>
              <a:ln>
                <a:noFill/>
              </a:ln>
              <a:effectLst/>
            </c:spPr>
            <c:txPr>
              <a:bodyPr rot="0" vert="horz"/>
              <a:lstStyle/>
              <a:p>
                <a:pPr>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Hoja1!$A$2:$A$9</c:f>
              <c:numCache>
                <c:formatCode>General</c:formatCode>
                <c:ptCount val="8"/>
                <c:pt idx="0">
                  <c:v>1980</c:v>
                </c:pt>
                <c:pt idx="1">
                  <c:v>1985</c:v>
                </c:pt>
                <c:pt idx="2">
                  <c:v>1990</c:v>
                </c:pt>
                <c:pt idx="3">
                  <c:v>1995</c:v>
                </c:pt>
                <c:pt idx="4">
                  <c:v>2000</c:v>
                </c:pt>
                <c:pt idx="5">
                  <c:v>2005</c:v>
                </c:pt>
                <c:pt idx="6">
                  <c:v>2010</c:v>
                </c:pt>
                <c:pt idx="7">
                  <c:v>2015</c:v>
                </c:pt>
              </c:numCache>
            </c:numRef>
          </c:cat>
          <c:val>
            <c:numRef>
              <c:f>Hoja1!$B$2:$B$9</c:f>
              <c:numCache>
                <c:formatCode>#,##0</c:formatCode>
                <c:ptCount val="8"/>
                <c:pt idx="0">
                  <c:v>149242</c:v>
                </c:pt>
                <c:pt idx="1">
                  <c:v>248788</c:v>
                </c:pt>
                <c:pt idx="2">
                  <c:v>352475</c:v>
                </c:pt>
                <c:pt idx="3">
                  <c:v>326437</c:v>
                </c:pt>
                <c:pt idx="4">
                  <c:v>334131</c:v>
                </c:pt>
                <c:pt idx="5">
                  <c:v>622732</c:v>
                </c:pt>
                <c:pt idx="6">
                  <c:v>707121</c:v>
                </c:pt>
                <c:pt idx="7">
                  <c:v>741515</c:v>
                </c:pt>
              </c:numCache>
            </c:numRef>
          </c:val>
        </c:ser>
        <c:dLbls>
          <c:showLegendKey val="0"/>
          <c:showVal val="1"/>
          <c:showCatName val="0"/>
          <c:showSerName val="0"/>
          <c:showPercent val="0"/>
          <c:showBubbleSize val="0"/>
        </c:dLbls>
        <c:gapWidth val="75"/>
        <c:axId val="45374848"/>
        <c:axId val="50875392"/>
      </c:barChart>
      <c:catAx>
        <c:axId val="45374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s-MX"/>
          </a:p>
        </c:txPr>
        <c:crossAx val="50875392"/>
        <c:crosses val="autoZero"/>
        <c:auto val="1"/>
        <c:lblAlgn val="ctr"/>
        <c:lblOffset val="100"/>
        <c:noMultiLvlLbl val="0"/>
      </c:catAx>
      <c:valAx>
        <c:axId val="50875392"/>
        <c:scaling>
          <c:orientation val="minMax"/>
        </c:scaling>
        <c:delete val="0"/>
        <c:axPos val="l"/>
        <c:numFmt formatCode="#,##0" sourceLinked="1"/>
        <c:majorTickMark val="none"/>
        <c:minorTickMark val="none"/>
        <c:tickLblPos val="nextTo"/>
        <c:spPr>
          <a:noFill/>
          <a:ln>
            <a:noFill/>
          </a:ln>
          <a:effectLst/>
        </c:spPr>
        <c:txPr>
          <a:bodyPr rot="-60000000" vert="horz"/>
          <a:lstStyle/>
          <a:p>
            <a:pPr>
              <a:defRPr/>
            </a:pPr>
            <a:endParaRPr lang="es-MX"/>
          </a:p>
        </c:txPr>
        <c:crossAx val="45374848"/>
        <c:crosses val="autoZero"/>
        <c:crossBetween val="between"/>
      </c:valAx>
      <c:spPr>
        <a:noFill/>
        <a:ln>
          <a:noFill/>
        </a:ln>
        <a:effectLst/>
      </c:spPr>
    </c:plotArea>
    <c:plotVisOnly val="1"/>
    <c:dispBlanksAs val="gap"/>
    <c:showDLblsOverMax val="0"/>
  </c:chart>
  <c:spPr>
    <a:solidFill>
      <a:schemeClr val="lt1"/>
    </a:solidFill>
    <a:ln w="3175" cap="flat" cmpd="sng" algn="ctr">
      <a:solidFill>
        <a:schemeClr val="dk1"/>
      </a:solidFill>
      <a:prstDash val="solid"/>
    </a:ln>
    <a:effectLst/>
  </c:spPr>
  <c:txPr>
    <a:bodyPr/>
    <a:lstStyle/>
    <a:p>
      <a:pPr>
        <a:defRPr>
          <a:solidFill>
            <a:schemeClr val="dk1"/>
          </a:solidFill>
          <a:latin typeface="+mn-lt"/>
          <a:ea typeface="+mn-ea"/>
          <a:cs typeface="+mn-cs"/>
        </a:defRPr>
      </a:pPr>
      <a:endParaRPr lang="es-MX"/>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Días!$C$4</c:f>
              <c:strCache>
                <c:ptCount val="1"/>
                <c:pt idx="0">
                  <c:v>SM</c:v>
                </c:pt>
              </c:strCache>
            </c:strRef>
          </c:tx>
          <c:spPr>
            <a:solidFill>
              <a:schemeClr val="bg1">
                <a:lumMod val="50000"/>
              </a:schemeClr>
            </a:solidFill>
            <a:ln>
              <a:solidFill>
                <a:schemeClr val="bg1">
                  <a:lumMod val="50000"/>
                </a:schemeClr>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Días!$B$5:$B$10</c:f>
              <c:strCache>
                <c:ptCount val="6"/>
                <c:pt idx="0">
                  <c:v>Torreón-2012</c:v>
                </c:pt>
                <c:pt idx="1">
                  <c:v>Torreón-2013</c:v>
                </c:pt>
                <c:pt idx="2">
                  <c:v>Torreón-2014</c:v>
                </c:pt>
                <c:pt idx="3">
                  <c:v>Saltillo-2016</c:v>
                </c:pt>
                <c:pt idx="4">
                  <c:v>Monclova-2016</c:v>
                </c:pt>
                <c:pt idx="5">
                  <c:v>Piedras Negras-2016</c:v>
                </c:pt>
              </c:strCache>
            </c:strRef>
          </c:cat>
          <c:val>
            <c:numRef>
              <c:f>Días!$C$5:$C$10</c:f>
              <c:numCache>
                <c:formatCode>General</c:formatCode>
                <c:ptCount val="6"/>
                <c:pt idx="3">
                  <c:v>91</c:v>
                </c:pt>
                <c:pt idx="4">
                  <c:v>91</c:v>
                </c:pt>
                <c:pt idx="5">
                  <c:v>91</c:v>
                </c:pt>
              </c:numCache>
            </c:numRef>
          </c:val>
        </c:ser>
        <c:ser>
          <c:idx val="1"/>
          <c:order val="1"/>
          <c:tx>
            <c:strRef>
              <c:f>Días!$D$4</c:f>
              <c:strCache>
                <c:ptCount val="1"/>
                <c:pt idx="0">
                  <c:v>DI</c:v>
                </c:pt>
              </c:strCache>
            </c:strRef>
          </c:tx>
          <c:spPr>
            <a:solidFill>
              <a:schemeClr val="bg1"/>
            </a:solidFill>
            <a:ln>
              <a:solidFill>
                <a:schemeClr val="bg1">
                  <a:lumMod val="65000"/>
                </a:schemeClr>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Días!$B$5:$B$10</c:f>
              <c:strCache>
                <c:ptCount val="6"/>
                <c:pt idx="0">
                  <c:v>Torreón-2012</c:v>
                </c:pt>
                <c:pt idx="1">
                  <c:v>Torreón-2013</c:v>
                </c:pt>
                <c:pt idx="2">
                  <c:v>Torreón-2014</c:v>
                </c:pt>
                <c:pt idx="3">
                  <c:v>Saltillo-2016</c:v>
                </c:pt>
                <c:pt idx="4">
                  <c:v>Monclova-2016</c:v>
                </c:pt>
                <c:pt idx="5">
                  <c:v>Piedras Negras-2016</c:v>
                </c:pt>
              </c:strCache>
            </c:strRef>
          </c:cat>
          <c:val>
            <c:numRef>
              <c:f>Días!$D$5:$D$10</c:f>
              <c:numCache>
                <c:formatCode>General</c:formatCode>
                <c:ptCount val="6"/>
                <c:pt idx="0">
                  <c:v>255</c:v>
                </c:pt>
                <c:pt idx="1">
                  <c:v>16</c:v>
                </c:pt>
                <c:pt idx="2">
                  <c:v>58</c:v>
                </c:pt>
                <c:pt idx="3">
                  <c:v>48</c:v>
                </c:pt>
                <c:pt idx="4">
                  <c:v>55</c:v>
                </c:pt>
                <c:pt idx="5">
                  <c:v>156</c:v>
                </c:pt>
              </c:numCache>
            </c:numRef>
          </c:val>
        </c:ser>
        <c:ser>
          <c:idx val="2"/>
          <c:order val="2"/>
          <c:tx>
            <c:strRef>
              <c:f>Días!$E$4</c:f>
              <c:strCache>
                <c:ptCount val="1"/>
                <c:pt idx="0">
                  <c:v>Buenos</c:v>
                </c:pt>
              </c:strCache>
            </c:strRef>
          </c:tx>
          <c:spPr>
            <a:solidFill>
              <a:srgbClr val="00B050"/>
            </a:solidFill>
            <a:ln>
              <a:solidFill>
                <a:srgbClr val="00B050"/>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Días!$B$5:$B$10</c:f>
              <c:strCache>
                <c:ptCount val="6"/>
                <c:pt idx="0">
                  <c:v>Torreón-2012</c:v>
                </c:pt>
                <c:pt idx="1">
                  <c:v>Torreón-2013</c:v>
                </c:pt>
                <c:pt idx="2">
                  <c:v>Torreón-2014</c:v>
                </c:pt>
                <c:pt idx="3">
                  <c:v>Saltillo-2016</c:v>
                </c:pt>
                <c:pt idx="4">
                  <c:v>Monclova-2016</c:v>
                </c:pt>
                <c:pt idx="5">
                  <c:v>Piedras Negras-2016</c:v>
                </c:pt>
              </c:strCache>
            </c:strRef>
          </c:cat>
          <c:val>
            <c:numRef>
              <c:f>Días!$E$5:$E$10</c:f>
              <c:numCache>
                <c:formatCode>General</c:formatCode>
                <c:ptCount val="6"/>
                <c:pt idx="0">
                  <c:v>11</c:v>
                </c:pt>
                <c:pt idx="1">
                  <c:v>70</c:v>
                </c:pt>
                <c:pt idx="2">
                  <c:v>60</c:v>
                </c:pt>
                <c:pt idx="3">
                  <c:v>121</c:v>
                </c:pt>
                <c:pt idx="4">
                  <c:v>66</c:v>
                </c:pt>
                <c:pt idx="5">
                  <c:v>80</c:v>
                </c:pt>
              </c:numCache>
            </c:numRef>
          </c:val>
        </c:ser>
        <c:ser>
          <c:idx val="3"/>
          <c:order val="3"/>
          <c:tx>
            <c:strRef>
              <c:f>Días!$F$4</c:f>
              <c:strCache>
                <c:ptCount val="1"/>
                <c:pt idx="0">
                  <c:v>Regulares</c:v>
                </c:pt>
              </c:strCache>
            </c:strRef>
          </c:tx>
          <c:spPr>
            <a:solidFill>
              <a:srgbClr val="FFFF00"/>
            </a:solidFill>
            <a:ln>
              <a:solidFill>
                <a:srgbClr val="FFFF00"/>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Días!$B$5:$B$10</c:f>
              <c:strCache>
                <c:ptCount val="6"/>
                <c:pt idx="0">
                  <c:v>Torreón-2012</c:v>
                </c:pt>
                <c:pt idx="1">
                  <c:v>Torreón-2013</c:v>
                </c:pt>
                <c:pt idx="2">
                  <c:v>Torreón-2014</c:v>
                </c:pt>
                <c:pt idx="3">
                  <c:v>Saltillo-2016</c:v>
                </c:pt>
                <c:pt idx="4">
                  <c:v>Monclova-2016</c:v>
                </c:pt>
                <c:pt idx="5">
                  <c:v>Piedras Negras-2016</c:v>
                </c:pt>
              </c:strCache>
            </c:strRef>
          </c:cat>
          <c:val>
            <c:numRef>
              <c:f>Días!$F$5:$F$10</c:f>
              <c:numCache>
                <c:formatCode>General</c:formatCode>
                <c:ptCount val="6"/>
                <c:pt idx="0">
                  <c:v>57</c:v>
                </c:pt>
                <c:pt idx="1">
                  <c:v>184</c:v>
                </c:pt>
                <c:pt idx="2">
                  <c:v>149</c:v>
                </c:pt>
                <c:pt idx="3">
                  <c:v>93</c:v>
                </c:pt>
                <c:pt idx="4">
                  <c:v>124</c:v>
                </c:pt>
                <c:pt idx="5">
                  <c:v>34</c:v>
                </c:pt>
              </c:numCache>
            </c:numRef>
          </c:val>
        </c:ser>
        <c:ser>
          <c:idx val="4"/>
          <c:order val="4"/>
          <c:tx>
            <c:strRef>
              <c:f>Días!$G$4</c:f>
              <c:strCache>
                <c:ptCount val="1"/>
                <c:pt idx="0">
                  <c:v>Malos</c:v>
                </c:pt>
              </c:strCache>
            </c:strRef>
          </c:tx>
          <c:spPr>
            <a:solidFill>
              <a:srgbClr val="FF0000"/>
            </a:solidFill>
          </c:spPr>
          <c:invertIfNegative val="0"/>
          <c:dLbls>
            <c:dLbl>
              <c:idx val="5"/>
              <c:layout>
                <c:manualLayout>
                  <c:x val="-2.2629554197782301E-3"/>
                  <c:y val="-2.7144408251900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Días!$B$5:$B$10</c:f>
              <c:strCache>
                <c:ptCount val="6"/>
                <c:pt idx="0">
                  <c:v>Torreón-2012</c:v>
                </c:pt>
                <c:pt idx="1">
                  <c:v>Torreón-2013</c:v>
                </c:pt>
                <c:pt idx="2">
                  <c:v>Torreón-2014</c:v>
                </c:pt>
                <c:pt idx="3">
                  <c:v>Saltillo-2016</c:v>
                </c:pt>
                <c:pt idx="4">
                  <c:v>Monclova-2016</c:v>
                </c:pt>
                <c:pt idx="5">
                  <c:v>Piedras Negras-2016</c:v>
                </c:pt>
              </c:strCache>
            </c:strRef>
          </c:cat>
          <c:val>
            <c:numRef>
              <c:f>Días!$G$5:$G$10</c:f>
              <c:numCache>
                <c:formatCode>General</c:formatCode>
                <c:ptCount val="6"/>
                <c:pt idx="0">
                  <c:v>42</c:v>
                </c:pt>
                <c:pt idx="1">
                  <c:v>95</c:v>
                </c:pt>
                <c:pt idx="2">
                  <c:v>98</c:v>
                </c:pt>
                <c:pt idx="3">
                  <c:v>13</c:v>
                </c:pt>
                <c:pt idx="4">
                  <c:v>30</c:v>
                </c:pt>
                <c:pt idx="5">
                  <c:v>5</c:v>
                </c:pt>
              </c:numCache>
            </c:numRef>
          </c:val>
        </c:ser>
        <c:dLbls>
          <c:showLegendKey val="0"/>
          <c:showVal val="0"/>
          <c:showCatName val="0"/>
          <c:showSerName val="0"/>
          <c:showPercent val="0"/>
          <c:showBubbleSize val="0"/>
        </c:dLbls>
        <c:gapWidth val="75"/>
        <c:overlap val="100"/>
        <c:axId val="71395968"/>
        <c:axId val="72086272"/>
      </c:barChart>
      <c:catAx>
        <c:axId val="71395968"/>
        <c:scaling>
          <c:orientation val="minMax"/>
        </c:scaling>
        <c:delete val="0"/>
        <c:axPos val="b"/>
        <c:title>
          <c:tx>
            <c:rich>
              <a:bodyPr/>
              <a:lstStyle/>
              <a:p>
                <a:pPr>
                  <a:defRPr lang="en-US" sz="1100" b="0"/>
                </a:pPr>
                <a:r>
                  <a:rPr lang="es-MX" sz="1100" b="0"/>
                  <a:t>Municipio</a:t>
                </a:r>
                <a:r>
                  <a:rPr lang="es-MX" sz="1100" b="0" baseline="0"/>
                  <a:t> y año</a:t>
                </a:r>
                <a:endParaRPr lang="es-MX" sz="1100" b="0"/>
              </a:p>
            </c:rich>
          </c:tx>
          <c:overlay val="0"/>
        </c:title>
        <c:numFmt formatCode="General" sourceLinked="1"/>
        <c:majorTickMark val="none"/>
        <c:minorTickMark val="none"/>
        <c:tickLblPos val="nextTo"/>
        <c:txPr>
          <a:bodyPr/>
          <a:lstStyle/>
          <a:p>
            <a:pPr>
              <a:defRPr lang="en-US" sz="800" b="0"/>
            </a:pPr>
            <a:endParaRPr lang="es-MX"/>
          </a:p>
        </c:txPr>
        <c:crossAx val="72086272"/>
        <c:crosses val="autoZero"/>
        <c:auto val="1"/>
        <c:lblAlgn val="ctr"/>
        <c:lblOffset val="100"/>
        <c:noMultiLvlLbl val="0"/>
      </c:catAx>
      <c:valAx>
        <c:axId val="72086272"/>
        <c:scaling>
          <c:orientation val="minMax"/>
        </c:scaling>
        <c:delete val="0"/>
        <c:axPos val="l"/>
        <c:majorGridlines>
          <c:spPr>
            <a:ln w="3175">
              <a:solidFill>
                <a:schemeClr val="bg1">
                  <a:lumMod val="85000"/>
                </a:schemeClr>
              </a:solidFill>
            </a:ln>
          </c:spPr>
        </c:majorGridlines>
        <c:title>
          <c:tx>
            <c:rich>
              <a:bodyPr/>
              <a:lstStyle/>
              <a:p>
                <a:pPr>
                  <a:defRPr lang="en-US" sz="1100" b="0"/>
                </a:pPr>
                <a:r>
                  <a:rPr lang="es-MX" sz="1100" b="0"/>
                  <a:t>Número</a:t>
                </a:r>
                <a:r>
                  <a:rPr lang="es-MX" sz="1100" b="0" baseline="0"/>
                  <a:t> de días</a:t>
                </a:r>
                <a:endParaRPr lang="es-MX" sz="1100" b="0"/>
              </a:p>
            </c:rich>
          </c:tx>
          <c:layout>
            <c:manualLayout>
              <c:xMode val="edge"/>
              <c:yMode val="edge"/>
              <c:x val="1.8103643358225799E-2"/>
              <c:y val="0.17497798524370101"/>
            </c:manualLayout>
          </c:layout>
          <c:overlay val="0"/>
        </c:title>
        <c:numFmt formatCode="General" sourceLinked="1"/>
        <c:majorTickMark val="out"/>
        <c:minorTickMark val="none"/>
        <c:tickLblPos val="nextTo"/>
        <c:txPr>
          <a:bodyPr/>
          <a:lstStyle/>
          <a:p>
            <a:pPr>
              <a:defRPr lang="en-US"/>
            </a:pPr>
            <a:endParaRPr lang="es-MX"/>
          </a:p>
        </c:txPr>
        <c:crossAx val="71395968"/>
        <c:crosses val="autoZero"/>
        <c:crossBetween val="between"/>
      </c:valAx>
    </c:plotArea>
    <c:legend>
      <c:legendPos val="r"/>
      <c:layout>
        <c:manualLayout>
          <c:xMode val="edge"/>
          <c:yMode val="edge"/>
          <c:x val="0.83594534548670696"/>
          <c:y val="0.23250745936888201"/>
          <c:w val="0.153361736096634"/>
          <c:h val="0.50636889037078803"/>
        </c:manualLayout>
      </c:layout>
      <c:overlay val="0"/>
      <c:txPr>
        <a:bodyPr/>
        <a:lstStyle/>
        <a:p>
          <a:pPr>
            <a:defRPr lang="en-US" sz="1000" b="0"/>
          </a:pPr>
          <a:endParaRPr lang="es-MX"/>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Días!$C$4</c:f>
              <c:strCache>
                <c:ptCount val="1"/>
                <c:pt idx="0">
                  <c:v>SM</c:v>
                </c:pt>
              </c:strCache>
            </c:strRef>
          </c:tx>
          <c:spPr>
            <a:solidFill>
              <a:schemeClr val="bg1">
                <a:lumMod val="50000"/>
              </a:schemeClr>
            </a:solidFill>
            <a:ln>
              <a:solidFill>
                <a:schemeClr val="bg1">
                  <a:lumMod val="50000"/>
                </a:schemeClr>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Días!$B$5:$B$9</c:f>
              <c:strCache>
                <c:ptCount val="5"/>
                <c:pt idx="0">
                  <c:v>Torreón-2013</c:v>
                </c:pt>
                <c:pt idx="1">
                  <c:v>Torreón-2014</c:v>
                </c:pt>
                <c:pt idx="2">
                  <c:v>Saltillo-2016</c:v>
                </c:pt>
                <c:pt idx="3">
                  <c:v>Monclova-2016</c:v>
                </c:pt>
                <c:pt idx="4">
                  <c:v>Piedras Negras-2016</c:v>
                </c:pt>
              </c:strCache>
            </c:strRef>
          </c:cat>
          <c:val>
            <c:numRef>
              <c:f>Días!$C$5:$C$9</c:f>
              <c:numCache>
                <c:formatCode>General</c:formatCode>
                <c:ptCount val="5"/>
                <c:pt idx="2">
                  <c:v>91</c:v>
                </c:pt>
                <c:pt idx="3">
                  <c:v>91</c:v>
                </c:pt>
                <c:pt idx="4">
                  <c:v>91</c:v>
                </c:pt>
              </c:numCache>
            </c:numRef>
          </c:val>
        </c:ser>
        <c:ser>
          <c:idx val="1"/>
          <c:order val="1"/>
          <c:tx>
            <c:strRef>
              <c:f>Días!$D$4</c:f>
              <c:strCache>
                <c:ptCount val="1"/>
                <c:pt idx="0">
                  <c:v>DI</c:v>
                </c:pt>
              </c:strCache>
            </c:strRef>
          </c:tx>
          <c:spPr>
            <a:solidFill>
              <a:schemeClr val="bg1"/>
            </a:solidFill>
            <a:ln>
              <a:solidFill>
                <a:schemeClr val="bg1">
                  <a:lumMod val="65000"/>
                </a:schemeClr>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Días!$B$5:$B$9</c:f>
              <c:strCache>
                <c:ptCount val="5"/>
                <c:pt idx="0">
                  <c:v>Torreón-2013</c:v>
                </c:pt>
                <c:pt idx="1">
                  <c:v>Torreón-2014</c:v>
                </c:pt>
                <c:pt idx="2">
                  <c:v>Saltillo-2016</c:v>
                </c:pt>
                <c:pt idx="3">
                  <c:v>Monclova-2016</c:v>
                </c:pt>
                <c:pt idx="4">
                  <c:v>Piedras Negras-2016</c:v>
                </c:pt>
              </c:strCache>
            </c:strRef>
          </c:cat>
          <c:val>
            <c:numRef>
              <c:f>Días!$D$5:$D$9</c:f>
              <c:numCache>
                <c:formatCode>General</c:formatCode>
                <c:ptCount val="5"/>
                <c:pt idx="0">
                  <c:v>163</c:v>
                </c:pt>
                <c:pt idx="1">
                  <c:v>127</c:v>
                </c:pt>
                <c:pt idx="2">
                  <c:v>59</c:v>
                </c:pt>
                <c:pt idx="3">
                  <c:v>61</c:v>
                </c:pt>
                <c:pt idx="4">
                  <c:v>114</c:v>
                </c:pt>
              </c:numCache>
            </c:numRef>
          </c:val>
        </c:ser>
        <c:ser>
          <c:idx val="2"/>
          <c:order val="2"/>
          <c:tx>
            <c:strRef>
              <c:f>Días!$E$4</c:f>
              <c:strCache>
                <c:ptCount val="1"/>
                <c:pt idx="0">
                  <c:v>Buenos</c:v>
                </c:pt>
              </c:strCache>
            </c:strRef>
          </c:tx>
          <c:spPr>
            <a:solidFill>
              <a:srgbClr val="00B050"/>
            </a:solidFill>
            <a:ln>
              <a:solidFill>
                <a:srgbClr val="00B050"/>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Días!$B$5:$B$9</c:f>
              <c:strCache>
                <c:ptCount val="5"/>
                <c:pt idx="0">
                  <c:v>Torreón-2013</c:v>
                </c:pt>
                <c:pt idx="1">
                  <c:v>Torreón-2014</c:v>
                </c:pt>
                <c:pt idx="2">
                  <c:v>Saltillo-2016</c:v>
                </c:pt>
                <c:pt idx="3">
                  <c:v>Monclova-2016</c:v>
                </c:pt>
                <c:pt idx="4">
                  <c:v>Piedras Negras-2016</c:v>
                </c:pt>
              </c:strCache>
            </c:strRef>
          </c:cat>
          <c:val>
            <c:numRef>
              <c:f>Días!$E$5:$E$9</c:f>
              <c:numCache>
                <c:formatCode>General</c:formatCode>
                <c:ptCount val="5"/>
                <c:pt idx="0">
                  <c:v>189</c:v>
                </c:pt>
                <c:pt idx="1">
                  <c:v>201</c:v>
                </c:pt>
                <c:pt idx="2">
                  <c:v>171</c:v>
                </c:pt>
                <c:pt idx="3">
                  <c:v>186</c:v>
                </c:pt>
                <c:pt idx="4">
                  <c:v>158</c:v>
                </c:pt>
              </c:numCache>
            </c:numRef>
          </c:val>
        </c:ser>
        <c:ser>
          <c:idx val="3"/>
          <c:order val="3"/>
          <c:tx>
            <c:strRef>
              <c:f>Días!$F$4</c:f>
              <c:strCache>
                <c:ptCount val="1"/>
                <c:pt idx="0">
                  <c:v>Regulares</c:v>
                </c:pt>
              </c:strCache>
            </c:strRef>
          </c:tx>
          <c:spPr>
            <a:solidFill>
              <a:srgbClr val="FFFF00"/>
            </a:solidFill>
            <a:ln>
              <a:solidFill>
                <a:srgbClr val="FFFF00"/>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Días!$B$5:$B$9</c:f>
              <c:strCache>
                <c:ptCount val="5"/>
                <c:pt idx="0">
                  <c:v>Torreón-2013</c:v>
                </c:pt>
                <c:pt idx="1">
                  <c:v>Torreón-2014</c:v>
                </c:pt>
                <c:pt idx="2">
                  <c:v>Saltillo-2016</c:v>
                </c:pt>
                <c:pt idx="3">
                  <c:v>Monclova-2016</c:v>
                </c:pt>
                <c:pt idx="4">
                  <c:v>Piedras Negras-2016</c:v>
                </c:pt>
              </c:strCache>
            </c:strRef>
          </c:cat>
          <c:val>
            <c:numRef>
              <c:f>Días!$F$5:$F$9</c:f>
              <c:numCache>
                <c:formatCode>General</c:formatCode>
                <c:ptCount val="5"/>
                <c:pt idx="0">
                  <c:v>13</c:v>
                </c:pt>
                <c:pt idx="1">
                  <c:v>36</c:v>
                </c:pt>
                <c:pt idx="2">
                  <c:v>43</c:v>
                </c:pt>
                <c:pt idx="3">
                  <c:v>27</c:v>
                </c:pt>
                <c:pt idx="4">
                  <c:v>3</c:v>
                </c:pt>
              </c:numCache>
            </c:numRef>
          </c:val>
        </c:ser>
        <c:ser>
          <c:idx val="4"/>
          <c:order val="4"/>
          <c:tx>
            <c:strRef>
              <c:f>Días!$G$4</c:f>
              <c:strCache>
                <c:ptCount val="1"/>
                <c:pt idx="0">
                  <c:v>Malos</c:v>
                </c:pt>
              </c:strCache>
            </c:strRef>
          </c:tx>
          <c:spPr>
            <a:solidFill>
              <a:srgbClr val="FF0000"/>
            </a:solidFill>
            <a:ln>
              <a:solidFill>
                <a:srgbClr val="FF0000"/>
              </a:solidFill>
            </a:ln>
          </c:spPr>
          <c:invertIfNegative val="0"/>
          <c:dLbls>
            <c:dLbl>
              <c:idx val="0"/>
              <c:delete val="1"/>
              <c:extLst>
                <c:ext xmlns:c15="http://schemas.microsoft.com/office/drawing/2012/chart" uri="{CE6537A1-D6FC-4f65-9D91-7224C49458BB}"/>
              </c:extLst>
            </c:dLbl>
            <c:dLbl>
              <c:idx val="1"/>
              <c:layout>
                <c:manualLayout>
                  <c:x val="0"/>
                  <c:y val="-3.703703703703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
                  <c:y val="-3.1746031746031703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3540489642184599E-3"/>
                  <c:y val="-2.1164021164021201E-2"/>
                </c:manualLayout>
              </c:layout>
              <c:showLegendKey val="0"/>
              <c:showVal val="1"/>
              <c:showCatName val="0"/>
              <c:showSerName val="0"/>
              <c:showPercent val="0"/>
              <c:showBubbleSize val="0"/>
              <c:extLst>
                <c:ext xmlns:c15="http://schemas.microsoft.com/office/drawing/2012/chart" uri="{CE6537A1-D6FC-4f65-9D91-7224C49458BB}"/>
              </c:extLst>
            </c:dLbl>
            <c:dLbl>
              <c:idx val="4"/>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Días!$B$5:$B$9</c:f>
              <c:strCache>
                <c:ptCount val="5"/>
                <c:pt idx="0">
                  <c:v>Torreón-2013</c:v>
                </c:pt>
                <c:pt idx="1">
                  <c:v>Torreón-2014</c:v>
                </c:pt>
                <c:pt idx="2">
                  <c:v>Saltillo-2016</c:v>
                </c:pt>
                <c:pt idx="3">
                  <c:v>Monclova-2016</c:v>
                </c:pt>
                <c:pt idx="4">
                  <c:v>Piedras Negras-2016</c:v>
                </c:pt>
              </c:strCache>
            </c:strRef>
          </c:cat>
          <c:val>
            <c:numRef>
              <c:f>Días!$G$5:$G$9</c:f>
              <c:numCache>
                <c:formatCode>General</c:formatCode>
                <c:ptCount val="5"/>
                <c:pt idx="0">
                  <c:v>0</c:v>
                </c:pt>
                <c:pt idx="1">
                  <c:v>1</c:v>
                </c:pt>
                <c:pt idx="2">
                  <c:v>2</c:v>
                </c:pt>
                <c:pt idx="3">
                  <c:v>1</c:v>
                </c:pt>
                <c:pt idx="4">
                  <c:v>0</c:v>
                </c:pt>
              </c:numCache>
            </c:numRef>
          </c:val>
        </c:ser>
        <c:dLbls>
          <c:showLegendKey val="0"/>
          <c:showVal val="0"/>
          <c:showCatName val="0"/>
          <c:showSerName val="0"/>
          <c:showPercent val="0"/>
          <c:showBubbleSize val="0"/>
        </c:dLbls>
        <c:gapWidth val="159"/>
        <c:overlap val="100"/>
        <c:axId val="87897600"/>
        <c:axId val="88506752"/>
      </c:barChart>
      <c:catAx>
        <c:axId val="87897600"/>
        <c:scaling>
          <c:orientation val="minMax"/>
        </c:scaling>
        <c:delete val="0"/>
        <c:axPos val="b"/>
        <c:title>
          <c:tx>
            <c:rich>
              <a:bodyPr/>
              <a:lstStyle/>
              <a:p>
                <a:pPr>
                  <a:defRPr lang="en-US" b="0"/>
                </a:pPr>
                <a:r>
                  <a:rPr lang="es-MX" b="0"/>
                  <a:t>Municipio y año</a:t>
                </a:r>
              </a:p>
            </c:rich>
          </c:tx>
          <c:overlay val="0"/>
        </c:title>
        <c:numFmt formatCode="General" sourceLinked="1"/>
        <c:majorTickMark val="none"/>
        <c:minorTickMark val="none"/>
        <c:tickLblPos val="nextTo"/>
        <c:txPr>
          <a:bodyPr/>
          <a:lstStyle/>
          <a:p>
            <a:pPr>
              <a:defRPr lang="en-US" sz="800"/>
            </a:pPr>
            <a:endParaRPr lang="es-MX"/>
          </a:p>
        </c:txPr>
        <c:crossAx val="88506752"/>
        <c:crosses val="autoZero"/>
        <c:auto val="1"/>
        <c:lblAlgn val="ctr"/>
        <c:lblOffset val="100"/>
        <c:noMultiLvlLbl val="0"/>
      </c:catAx>
      <c:valAx>
        <c:axId val="88506752"/>
        <c:scaling>
          <c:orientation val="minMax"/>
        </c:scaling>
        <c:delete val="0"/>
        <c:axPos val="l"/>
        <c:majorGridlines>
          <c:spPr>
            <a:ln>
              <a:solidFill>
                <a:schemeClr val="bg1">
                  <a:lumMod val="85000"/>
                </a:schemeClr>
              </a:solidFill>
            </a:ln>
          </c:spPr>
        </c:majorGridlines>
        <c:title>
          <c:tx>
            <c:rich>
              <a:bodyPr/>
              <a:lstStyle/>
              <a:p>
                <a:pPr>
                  <a:defRPr lang="en-US" b="0"/>
                </a:pPr>
                <a:r>
                  <a:rPr lang="es-MX" b="0"/>
                  <a:t>Número de días</a:t>
                </a:r>
              </a:p>
            </c:rich>
          </c:tx>
          <c:layout>
            <c:manualLayout>
              <c:xMode val="edge"/>
              <c:yMode val="edge"/>
              <c:x val="1.88323917137476E-2"/>
              <c:y val="0.21359705036870399"/>
            </c:manualLayout>
          </c:layout>
          <c:overlay val="0"/>
        </c:title>
        <c:numFmt formatCode="General" sourceLinked="1"/>
        <c:majorTickMark val="out"/>
        <c:minorTickMark val="none"/>
        <c:tickLblPos val="nextTo"/>
        <c:txPr>
          <a:bodyPr/>
          <a:lstStyle/>
          <a:p>
            <a:pPr>
              <a:defRPr lang="en-US"/>
            </a:pPr>
            <a:endParaRPr lang="es-MX"/>
          </a:p>
        </c:txPr>
        <c:crossAx val="87897600"/>
        <c:crosses val="autoZero"/>
        <c:crossBetween val="between"/>
      </c:valAx>
    </c:plotArea>
    <c:legend>
      <c:legendPos val="r"/>
      <c:layout>
        <c:manualLayout>
          <c:xMode val="edge"/>
          <c:yMode val="edge"/>
          <c:x val="0.83498866411814199"/>
          <c:y val="0.17469524642753001"/>
          <c:w val="0.13827013985777201"/>
          <c:h val="0.45146856642919603"/>
        </c:manualLayout>
      </c:layout>
      <c:overlay val="0"/>
      <c:txPr>
        <a:bodyPr/>
        <a:lstStyle/>
        <a:p>
          <a:pPr>
            <a:defRPr lang="en-US" sz="1000" b="0"/>
          </a:pPr>
          <a:endParaRPr lang="es-MX"/>
        </a:p>
      </c:txPr>
    </c:legend>
    <c:plotVisOnly val="1"/>
    <c:dispBlanksAs val="gap"/>
    <c:showDLblsOverMax val="0"/>
  </c:chart>
  <c:txPr>
    <a:bodyPr/>
    <a:lstStyle/>
    <a:p>
      <a:pPr>
        <a:defRPr sz="900"/>
      </a:pPr>
      <a:endParaRPr lang="es-MX"/>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6584897356262203E-2"/>
          <c:y val="6.5392354124748503E-2"/>
          <c:w val="0.76309333532901102"/>
          <c:h val="0.69461810231467502"/>
        </c:manualLayout>
      </c:layout>
      <c:barChart>
        <c:barDir val="col"/>
        <c:grouping val="stacked"/>
        <c:varyColors val="0"/>
        <c:ser>
          <c:idx val="0"/>
          <c:order val="0"/>
          <c:tx>
            <c:strRef>
              <c:f>'Distribución Días'!$C$4</c:f>
              <c:strCache>
                <c:ptCount val="1"/>
                <c:pt idx="0">
                  <c:v>SM</c:v>
                </c:pt>
              </c:strCache>
            </c:strRef>
          </c:tx>
          <c:spPr>
            <a:solidFill>
              <a:schemeClr val="tx1">
                <a:lumMod val="50000"/>
                <a:lumOff val="50000"/>
              </a:schemeClr>
            </a:solidFill>
            <a:ln>
              <a:solidFill>
                <a:schemeClr val="tx1">
                  <a:lumMod val="50000"/>
                  <a:lumOff val="50000"/>
                </a:schemeClr>
              </a:solidFill>
            </a:ln>
          </c:spPr>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'Distribución Días'!$B$5:$B$11</c:f>
              <c:strCache>
                <c:ptCount val="7"/>
                <c:pt idx="0">
                  <c:v>Torreón-2012</c:v>
                </c:pt>
                <c:pt idx="1">
                  <c:v>Torreón-2013</c:v>
                </c:pt>
                <c:pt idx="2">
                  <c:v>Torreón-2014</c:v>
                </c:pt>
                <c:pt idx="3">
                  <c:v>Torreón-2015</c:v>
                </c:pt>
                <c:pt idx="4">
                  <c:v>Saltillo-2016</c:v>
                </c:pt>
                <c:pt idx="5">
                  <c:v>Monclova-2016</c:v>
                </c:pt>
                <c:pt idx="6">
                  <c:v>Piedras Negras-2016</c:v>
                </c:pt>
              </c:strCache>
            </c:strRef>
          </c:cat>
          <c:val>
            <c:numRef>
              <c:f>'Distribución Días'!$C$5:$C$11</c:f>
              <c:numCache>
                <c:formatCode>General</c:formatCode>
                <c:ptCount val="7"/>
                <c:pt idx="0">
                  <c:v>0</c:v>
                </c:pt>
                <c:pt idx="1">
                  <c:v>0</c:v>
                </c:pt>
                <c:pt idx="2">
                  <c:v>0</c:v>
                </c:pt>
                <c:pt idx="3">
                  <c:v>0</c:v>
                </c:pt>
                <c:pt idx="4">
                  <c:v>60</c:v>
                </c:pt>
                <c:pt idx="5">
                  <c:v>60</c:v>
                </c:pt>
                <c:pt idx="6">
                  <c:v>60</c:v>
                </c:pt>
              </c:numCache>
            </c:numRef>
          </c:val>
        </c:ser>
        <c:ser>
          <c:idx val="1"/>
          <c:order val="1"/>
          <c:tx>
            <c:strRef>
              <c:f>'Distribución Días'!$D$4</c:f>
              <c:strCache>
                <c:ptCount val="1"/>
                <c:pt idx="0">
                  <c:v>DI</c:v>
                </c:pt>
              </c:strCache>
            </c:strRef>
          </c:tx>
          <c:spPr>
            <a:solidFill>
              <a:schemeClr val="bg1"/>
            </a:solidFill>
            <a:ln>
              <a:solidFill>
                <a:schemeClr val="bg1">
                  <a:lumMod val="65000"/>
                </a:schemeClr>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'Distribución Días'!$B$5:$B$11</c:f>
              <c:strCache>
                <c:ptCount val="7"/>
                <c:pt idx="0">
                  <c:v>Torreón-2012</c:v>
                </c:pt>
                <c:pt idx="1">
                  <c:v>Torreón-2013</c:v>
                </c:pt>
                <c:pt idx="2">
                  <c:v>Torreón-2014</c:v>
                </c:pt>
                <c:pt idx="3">
                  <c:v>Torreón-2015</c:v>
                </c:pt>
                <c:pt idx="4">
                  <c:v>Saltillo-2016</c:v>
                </c:pt>
                <c:pt idx="5">
                  <c:v>Monclova-2016</c:v>
                </c:pt>
                <c:pt idx="6">
                  <c:v>Piedras Negras-2016</c:v>
                </c:pt>
              </c:strCache>
            </c:strRef>
          </c:cat>
          <c:val>
            <c:numRef>
              <c:f>'Distribución Días'!$D$5:$D$11</c:f>
              <c:numCache>
                <c:formatCode>General</c:formatCode>
                <c:ptCount val="7"/>
                <c:pt idx="0">
                  <c:v>245</c:v>
                </c:pt>
                <c:pt idx="1">
                  <c:v>63</c:v>
                </c:pt>
                <c:pt idx="2">
                  <c:v>114</c:v>
                </c:pt>
                <c:pt idx="3">
                  <c:v>211</c:v>
                </c:pt>
                <c:pt idx="4">
                  <c:v>39</c:v>
                </c:pt>
                <c:pt idx="5">
                  <c:v>104</c:v>
                </c:pt>
                <c:pt idx="6">
                  <c:v>45</c:v>
                </c:pt>
              </c:numCache>
            </c:numRef>
          </c:val>
        </c:ser>
        <c:ser>
          <c:idx val="2"/>
          <c:order val="2"/>
          <c:tx>
            <c:strRef>
              <c:f>'Distribución Días'!$E$4</c:f>
              <c:strCache>
                <c:ptCount val="1"/>
                <c:pt idx="0">
                  <c:v>Buenos</c:v>
                </c:pt>
              </c:strCache>
            </c:strRef>
          </c:tx>
          <c:spPr>
            <a:solidFill>
              <a:srgbClr val="00B050"/>
            </a:solidFill>
            <a:ln>
              <a:solidFill>
                <a:srgbClr val="00B050"/>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'Distribución Días'!$B$5:$B$11</c:f>
              <c:strCache>
                <c:ptCount val="7"/>
                <c:pt idx="0">
                  <c:v>Torreón-2012</c:v>
                </c:pt>
                <c:pt idx="1">
                  <c:v>Torreón-2013</c:v>
                </c:pt>
                <c:pt idx="2">
                  <c:v>Torreón-2014</c:v>
                </c:pt>
                <c:pt idx="3">
                  <c:v>Torreón-2015</c:v>
                </c:pt>
                <c:pt idx="4">
                  <c:v>Saltillo-2016</c:v>
                </c:pt>
                <c:pt idx="5">
                  <c:v>Monclova-2016</c:v>
                </c:pt>
                <c:pt idx="6">
                  <c:v>Piedras Negras-2016</c:v>
                </c:pt>
              </c:strCache>
            </c:strRef>
          </c:cat>
          <c:val>
            <c:numRef>
              <c:f>'Distribución Días'!$E$5:$E$11</c:f>
              <c:numCache>
                <c:formatCode>General</c:formatCode>
                <c:ptCount val="7"/>
                <c:pt idx="0">
                  <c:v>73</c:v>
                </c:pt>
                <c:pt idx="1">
                  <c:v>192</c:v>
                </c:pt>
                <c:pt idx="2">
                  <c:v>148</c:v>
                </c:pt>
                <c:pt idx="3">
                  <c:v>62</c:v>
                </c:pt>
                <c:pt idx="4">
                  <c:v>32</c:v>
                </c:pt>
                <c:pt idx="5">
                  <c:v>180</c:v>
                </c:pt>
                <c:pt idx="6">
                  <c:v>214</c:v>
                </c:pt>
              </c:numCache>
            </c:numRef>
          </c:val>
        </c:ser>
        <c:ser>
          <c:idx val="3"/>
          <c:order val="3"/>
          <c:tx>
            <c:strRef>
              <c:f>'Distribución Días'!$F$4</c:f>
              <c:strCache>
                <c:ptCount val="1"/>
                <c:pt idx="0">
                  <c:v>Regulares</c:v>
                </c:pt>
              </c:strCache>
            </c:strRef>
          </c:tx>
          <c:spPr>
            <a:solidFill>
              <a:srgbClr val="FFFF00"/>
            </a:solidFill>
            <a:ln>
              <a:solidFill>
                <a:srgbClr val="FFFF00"/>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'Distribución Días'!$B$5:$B$11</c:f>
              <c:strCache>
                <c:ptCount val="7"/>
                <c:pt idx="0">
                  <c:v>Torreón-2012</c:v>
                </c:pt>
                <c:pt idx="1">
                  <c:v>Torreón-2013</c:v>
                </c:pt>
                <c:pt idx="2">
                  <c:v>Torreón-2014</c:v>
                </c:pt>
                <c:pt idx="3">
                  <c:v>Torreón-2015</c:v>
                </c:pt>
                <c:pt idx="4">
                  <c:v>Saltillo-2016</c:v>
                </c:pt>
                <c:pt idx="5">
                  <c:v>Monclova-2016</c:v>
                </c:pt>
                <c:pt idx="6">
                  <c:v>Piedras Negras-2016</c:v>
                </c:pt>
              </c:strCache>
            </c:strRef>
          </c:cat>
          <c:val>
            <c:numRef>
              <c:f>'Distribución Días'!$F$5:$F$11</c:f>
              <c:numCache>
                <c:formatCode>General</c:formatCode>
                <c:ptCount val="7"/>
                <c:pt idx="0">
                  <c:v>48</c:v>
                </c:pt>
                <c:pt idx="1">
                  <c:v>110</c:v>
                </c:pt>
                <c:pt idx="2">
                  <c:v>102</c:v>
                </c:pt>
                <c:pt idx="3">
                  <c:v>90</c:v>
                </c:pt>
                <c:pt idx="4">
                  <c:v>157</c:v>
                </c:pt>
                <c:pt idx="5">
                  <c:v>21</c:v>
                </c:pt>
                <c:pt idx="6">
                  <c:v>47</c:v>
                </c:pt>
              </c:numCache>
            </c:numRef>
          </c:val>
        </c:ser>
        <c:ser>
          <c:idx val="4"/>
          <c:order val="4"/>
          <c:tx>
            <c:strRef>
              <c:f>'Distribución Días'!$G$4</c:f>
              <c:strCache>
                <c:ptCount val="1"/>
                <c:pt idx="0">
                  <c:v>Malos</c:v>
                </c:pt>
              </c:strCache>
            </c:strRef>
          </c:tx>
          <c:spPr>
            <a:solidFill>
              <a:srgbClr val="FF0000"/>
            </a:solidFill>
            <a:ln>
              <a:solidFill>
                <a:srgbClr val="FF0000"/>
              </a:solidFill>
            </a:ln>
          </c:spPr>
          <c:invertIfNegative val="0"/>
          <c:dLbls>
            <c:dLbl>
              <c:idx val="0"/>
              <c:delete val="1"/>
              <c:extLst>
                <c:ext xmlns:c15="http://schemas.microsoft.com/office/drawing/2012/chart" uri="{CE6537A1-D6FC-4f65-9D91-7224C49458BB}"/>
              </c:extLst>
            </c:dLbl>
            <c:dLbl>
              <c:idx val="1"/>
              <c:delete val="1"/>
              <c:extLst>
                <c:ext xmlns:c15="http://schemas.microsoft.com/office/drawing/2012/chart" uri="{CE6537A1-D6FC-4f65-9D91-7224C49458BB}"/>
              </c:extLst>
            </c:dLbl>
            <c:dLbl>
              <c:idx val="2"/>
              <c:layout>
                <c:manualLayout>
                  <c:x val="-2.26295541977827E-3"/>
                  <c:y val="-4.0241448692152897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4.0241448692152897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0"/>
                  <c:y val="-2.5150905432595599E-2"/>
                </c:manualLayout>
              </c:layout>
              <c:showLegendKey val="0"/>
              <c:showVal val="1"/>
              <c:showCatName val="0"/>
              <c:showSerName val="0"/>
              <c:showPercent val="0"/>
              <c:showBubbleSize val="0"/>
              <c:extLst>
                <c:ext xmlns:c15="http://schemas.microsoft.com/office/drawing/2012/chart" uri="{CE6537A1-D6FC-4f65-9D91-7224C49458BB}"/>
              </c:extLst>
            </c:dLbl>
            <c:dLbl>
              <c:idx val="6"/>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'Distribución Días'!$B$5:$B$11</c:f>
              <c:strCache>
                <c:ptCount val="7"/>
                <c:pt idx="0">
                  <c:v>Torreón-2012</c:v>
                </c:pt>
                <c:pt idx="1">
                  <c:v>Torreón-2013</c:v>
                </c:pt>
                <c:pt idx="2">
                  <c:v>Torreón-2014</c:v>
                </c:pt>
                <c:pt idx="3">
                  <c:v>Torreón-2015</c:v>
                </c:pt>
                <c:pt idx="4">
                  <c:v>Saltillo-2016</c:v>
                </c:pt>
                <c:pt idx="5">
                  <c:v>Monclova-2016</c:v>
                </c:pt>
                <c:pt idx="6">
                  <c:v>Piedras Negras-2016</c:v>
                </c:pt>
              </c:strCache>
            </c:strRef>
          </c:cat>
          <c:val>
            <c:numRef>
              <c:f>'Distribución Días'!$G$5:$G$11</c:f>
              <c:numCache>
                <c:formatCode>General</c:formatCode>
                <c:ptCount val="7"/>
                <c:pt idx="0">
                  <c:v>0</c:v>
                </c:pt>
                <c:pt idx="1">
                  <c:v>0</c:v>
                </c:pt>
                <c:pt idx="2">
                  <c:v>1</c:v>
                </c:pt>
                <c:pt idx="3">
                  <c:v>2</c:v>
                </c:pt>
                <c:pt idx="4">
                  <c:v>78</c:v>
                </c:pt>
                <c:pt idx="5">
                  <c:v>1</c:v>
                </c:pt>
                <c:pt idx="6">
                  <c:v>0</c:v>
                </c:pt>
              </c:numCache>
            </c:numRef>
          </c:val>
        </c:ser>
        <c:dLbls>
          <c:showLegendKey val="0"/>
          <c:showVal val="0"/>
          <c:showCatName val="0"/>
          <c:showSerName val="0"/>
          <c:showPercent val="0"/>
          <c:showBubbleSize val="0"/>
        </c:dLbls>
        <c:gapWidth val="75"/>
        <c:overlap val="100"/>
        <c:axId val="109542016"/>
        <c:axId val="109793280"/>
      </c:barChart>
      <c:catAx>
        <c:axId val="109542016"/>
        <c:scaling>
          <c:orientation val="minMax"/>
        </c:scaling>
        <c:delete val="0"/>
        <c:axPos val="b"/>
        <c:title>
          <c:tx>
            <c:rich>
              <a:bodyPr/>
              <a:lstStyle/>
              <a:p>
                <a:pPr>
                  <a:defRPr lang="en-US" sz="1100" b="0" i="0" u="none" strike="noStrike" baseline="0">
                    <a:solidFill>
                      <a:srgbClr val="000000"/>
                    </a:solidFill>
                    <a:latin typeface="Calibri"/>
                    <a:ea typeface="Calibri"/>
                    <a:cs typeface="Calibri"/>
                  </a:defRPr>
                </a:pPr>
                <a:r>
                  <a:rPr lang="es-MX" b="0"/>
                  <a:t>Municipio y año</a:t>
                </a:r>
              </a:p>
            </c:rich>
          </c:tx>
          <c:overlay val="0"/>
        </c:title>
        <c:numFmt formatCode="General" sourceLinked="1"/>
        <c:majorTickMark val="none"/>
        <c:minorTickMark val="none"/>
        <c:tickLblPos val="nextTo"/>
        <c:txPr>
          <a:bodyPr rot="0" vert="horz"/>
          <a:lstStyle/>
          <a:p>
            <a:pPr>
              <a:defRPr lang="en-US" sz="750" b="0" i="0" u="none" strike="noStrike" baseline="0">
                <a:solidFill>
                  <a:srgbClr val="000000"/>
                </a:solidFill>
                <a:latin typeface="Calibri"/>
                <a:ea typeface="Calibri"/>
                <a:cs typeface="Calibri"/>
              </a:defRPr>
            </a:pPr>
            <a:endParaRPr lang="es-MX"/>
          </a:p>
        </c:txPr>
        <c:crossAx val="109793280"/>
        <c:crosses val="autoZero"/>
        <c:auto val="1"/>
        <c:lblAlgn val="ctr"/>
        <c:lblOffset val="100"/>
        <c:tickLblSkip val="1"/>
        <c:noMultiLvlLbl val="0"/>
      </c:catAx>
      <c:valAx>
        <c:axId val="109793280"/>
        <c:scaling>
          <c:orientation val="minMax"/>
        </c:scaling>
        <c:delete val="0"/>
        <c:axPos val="l"/>
        <c:majorGridlines>
          <c:spPr>
            <a:ln w="3175">
              <a:solidFill>
                <a:schemeClr val="bg1">
                  <a:lumMod val="85000"/>
                </a:schemeClr>
              </a:solidFill>
            </a:ln>
          </c:spPr>
        </c:majorGridlines>
        <c:title>
          <c:tx>
            <c:rich>
              <a:bodyPr/>
              <a:lstStyle/>
              <a:p>
                <a:pPr>
                  <a:defRPr lang="en-US" sz="1100" b="0" i="0" u="none" strike="noStrike" baseline="0">
                    <a:solidFill>
                      <a:srgbClr val="000000"/>
                    </a:solidFill>
                    <a:latin typeface="Calibri"/>
                    <a:ea typeface="Calibri"/>
                    <a:cs typeface="Calibri"/>
                  </a:defRPr>
                </a:pPr>
                <a:r>
                  <a:rPr lang="es-MX" b="0"/>
                  <a:t>Número de días</a:t>
                </a:r>
              </a:p>
            </c:rich>
          </c:tx>
          <c:layout>
            <c:manualLayout>
              <c:xMode val="edge"/>
              <c:yMode val="edge"/>
              <c:x val="0"/>
              <c:y val="0.210544764650897"/>
            </c:manualLayout>
          </c:layout>
          <c:overlay val="0"/>
        </c:title>
        <c:numFmt formatCode="General" sourceLinked="1"/>
        <c:majorTickMark val="out"/>
        <c:minorTickMark val="none"/>
        <c:tickLblPos val="nextTo"/>
        <c:txPr>
          <a:bodyPr rot="0" vert="horz"/>
          <a:lstStyle/>
          <a:p>
            <a:pPr>
              <a:defRPr lang="en-US" sz="1000" b="0" i="0" u="none" strike="noStrike" baseline="0">
                <a:solidFill>
                  <a:srgbClr val="000000"/>
                </a:solidFill>
                <a:latin typeface="Calibri"/>
                <a:ea typeface="Calibri"/>
                <a:cs typeface="Calibri"/>
              </a:defRPr>
            </a:pPr>
            <a:endParaRPr lang="es-MX"/>
          </a:p>
        </c:txPr>
        <c:crossAx val="109542016"/>
        <c:crosses val="autoZero"/>
        <c:crossBetween val="between"/>
      </c:valAx>
    </c:plotArea>
    <c:legend>
      <c:legendPos val="r"/>
      <c:layout>
        <c:manualLayout>
          <c:xMode val="edge"/>
          <c:yMode val="edge"/>
          <c:x val="0.86469450992760299"/>
          <c:y val="0.25729970373421601"/>
          <c:w val="0.132323734482273"/>
          <c:h val="0.351250811958364"/>
        </c:manualLayout>
      </c:layout>
      <c:overlay val="0"/>
      <c:txPr>
        <a:bodyPr/>
        <a:lstStyle/>
        <a:p>
          <a:pPr>
            <a:defRPr lang="en-US" sz="1000" b="0" i="0" u="none" strike="noStrike" baseline="0">
              <a:solidFill>
                <a:srgbClr val="000000"/>
              </a:solidFill>
              <a:latin typeface="Calibri"/>
              <a:ea typeface="Calibri"/>
              <a:cs typeface="Calibri"/>
            </a:defRPr>
          </a:pPr>
          <a:endParaRPr lang="es-MX"/>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s-MX"/>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080743502195"/>
          <c:y val="6.7831985390033905E-2"/>
          <c:w val="0.76365444916730596"/>
          <c:h val="0.69279464903829402"/>
        </c:manualLayout>
      </c:layout>
      <c:barChart>
        <c:barDir val="col"/>
        <c:grouping val="stacked"/>
        <c:varyColors val="0"/>
        <c:ser>
          <c:idx val="0"/>
          <c:order val="0"/>
          <c:tx>
            <c:strRef>
              <c:f>'Distribución Días'!$C$4</c:f>
              <c:strCache>
                <c:ptCount val="1"/>
                <c:pt idx="0">
                  <c:v>SM</c:v>
                </c:pt>
              </c:strCache>
            </c:strRef>
          </c:tx>
          <c:spPr>
            <a:solidFill>
              <a:schemeClr val="tx1">
                <a:lumMod val="50000"/>
                <a:lumOff val="50000"/>
              </a:schemeClr>
            </a:solidFill>
            <a:ln>
              <a:solidFill>
                <a:schemeClr val="tx1">
                  <a:lumMod val="50000"/>
                  <a:lumOff val="50000"/>
                </a:schemeClr>
              </a:solidFill>
            </a:ln>
          </c:spPr>
          <c:invertIfNegative val="0"/>
          <c:dLbls>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'Distribución Días'!$B$5:$B$11</c:f>
              <c:strCache>
                <c:ptCount val="7"/>
                <c:pt idx="0">
                  <c:v>Torreón-2012</c:v>
                </c:pt>
                <c:pt idx="1">
                  <c:v>Torreón-2013</c:v>
                </c:pt>
                <c:pt idx="2">
                  <c:v>Torreón-2014</c:v>
                </c:pt>
                <c:pt idx="3">
                  <c:v>Torreón-2015</c:v>
                </c:pt>
                <c:pt idx="4">
                  <c:v>Saltillo-2016</c:v>
                </c:pt>
                <c:pt idx="5">
                  <c:v>Monclova-2016</c:v>
                </c:pt>
                <c:pt idx="6">
                  <c:v>Piedras Negras-2016</c:v>
                </c:pt>
              </c:strCache>
            </c:strRef>
          </c:cat>
          <c:val>
            <c:numRef>
              <c:f>'Distribución Días'!$C$5:$C$11</c:f>
              <c:numCache>
                <c:formatCode>General</c:formatCode>
                <c:ptCount val="7"/>
                <c:pt idx="0">
                  <c:v>244</c:v>
                </c:pt>
                <c:pt idx="1">
                  <c:v>0</c:v>
                </c:pt>
                <c:pt idx="2">
                  <c:v>0</c:v>
                </c:pt>
                <c:pt idx="3">
                  <c:v>0</c:v>
                </c:pt>
                <c:pt idx="4">
                  <c:v>60</c:v>
                </c:pt>
                <c:pt idx="5">
                  <c:v>60</c:v>
                </c:pt>
                <c:pt idx="6">
                  <c:v>60</c:v>
                </c:pt>
              </c:numCache>
            </c:numRef>
          </c:val>
        </c:ser>
        <c:ser>
          <c:idx val="1"/>
          <c:order val="1"/>
          <c:tx>
            <c:strRef>
              <c:f>'Distribución Días'!$D$4</c:f>
              <c:strCache>
                <c:ptCount val="1"/>
                <c:pt idx="0">
                  <c:v>DI</c:v>
                </c:pt>
              </c:strCache>
            </c:strRef>
          </c:tx>
          <c:spPr>
            <a:solidFill>
              <a:schemeClr val="bg1"/>
            </a:solidFill>
            <a:ln>
              <a:solidFill>
                <a:schemeClr val="bg1">
                  <a:lumMod val="65000"/>
                </a:schemeClr>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'Distribución Días'!$B$5:$B$11</c:f>
              <c:strCache>
                <c:ptCount val="7"/>
                <c:pt idx="0">
                  <c:v>Torreón-2012</c:v>
                </c:pt>
                <c:pt idx="1">
                  <c:v>Torreón-2013</c:v>
                </c:pt>
                <c:pt idx="2">
                  <c:v>Torreón-2014</c:v>
                </c:pt>
                <c:pt idx="3">
                  <c:v>Torreón-2015</c:v>
                </c:pt>
                <c:pt idx="4">
                  <c:v>Saltillo-2016</c:v>
                </c:pt>
                <c:pt idx="5">
                  <c:v>Monclova-2016</c:v>
                </c:pt>
                <c:pt idx="6">
                  <c:v>Piedras Negras-2016</c:v>
                </c:pt>
              </c:strCache>
            </c:strRef>
          </c:cat>
          <c:val>
            <c:numRef>
              <c:f>'Distribución Días'!$D$5:$D$11</c:f>
              <c:numCache>
                <c:formatCode>General</c:formatCode>
                <c:ptCount val="7"/>
                <c:pt idx="0">
                  <c:v>1</c:v>
                </c:pt>
                <c:pt idx="1">
                  <c:v>34</c:v>
                </c:pt>
                <c:pt idx="2">
                  <c:v>136</c:v>
                </c:pt>
                <c:pt idx="3">
                  <c:v>329</c:v>
                </c:pt>
                <c:pt idx="4">
                  <c:v>36</c:v>
                </c:pt>
                <c:pt idx="5">
                  <c:v>37</c:v>
                </c:pt>
                <c:pt idx="6">
                  <c:v>45</c:v>
                </c:pt>
              </c:numCache>
            </c:numRef>
          </c:val>
        </c:ser>
        <c:ser>
          <c:idx val="2"/>
          <c:order val="2"/>
          <c:tx>
            <c:strRef>
              <c:f>'Distribución Días'!$E$4</c:f>
              <c:strCache>
                <c:ptCount val="1"/>
                <c:pt idx="0">
                  <c:v>Buenos</c:v>
                </c:pt>
              </c:strCache>
            </c:strRef>
          </c:tx>
          <c:spPr>
            <a:solidFill>
              <a:srgbClr val="00B050"/>
            </a:solidFill>
            <a:ln>
              <a:solidFill>
                <a:srgbClr val="00B050"/>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'Distribución Días'!$B$5:$B$11</c:f>
              <c:strCache>
                <c:ptCount val="7"/>
                <c:pt idx="0">
                  <c:v>Torreón-2012</c:v>
                </c:pt>
                <c:pt idx="1">
                  <c:v>Torreón-2013</c:v>
                </c:pt>
                <c:pt idx="2">
                  <c:v>Torreón-2014</c:v>
                </c:pt>
                <c:pt idx="3">
                  <c:v>Torreón-2015</c:v>
                </c:pt>
                <c:pt idx="4">
                  <c:v>Saltillo-2016</c:v>
                </c:pt>
                <c:pt idx="5">
                  <c:v>Monclova-2016</c:v>
                </c:pt>
                <c:pt idx="6">
                  <c:v>Piedras Negras-2016</c:v>
                </c:pt>
              </c:strCache>
            </c:strRef>
          </c:cat>
          <c:val>
            <c:numRef>
              <c:f>'Distribución Días'!$E$5:$E$11</c:f>
              <c:numCache>
                <c:formatCode>General</c:formatCode>
                <c:ptCount val="7"/>
                <c:pt idx="0">
                  <c:v>121</c:v>
                </c:pt>
                <c:pt idx="1">
                  <c:v>329</c:v>
                </c:pt>
                <c:pt idx="2">
                  <c:v>228</c:v>
                </c:pt>
                <c:pt idx="3">
                  <c:v>36</c:v>
                </c:pt>
                <c:pt idx="4">
                  <c:v>270</c:v>
                </c:pt>
                <c:pt idx="5">
                  <c:v>269</c:v>
                </c:pt>
                <c:pt idx="6">
                  <c:v>261</c:v>
                </c:pt>
              </c:numCache>
            </c:numRef>
          </c:val>
        </c:ser>
        <c:ser>
          <c:idx val="3"/>
          <c:order val="3"/>
          <c:tx>
            <c:strRef>
              <c:f>'Distribución Días'!$F$4</c:f>
              <c:strCache>
                <c:ptCount val="1"/>
                <c:pt idx="0">
                  <c:v>Regulares</c:v>
                </c:pt>
              </c:strCache>
            </c:strRef>
          </c:tx>
          <c:spPr>
            <a:solidFill>
              <a:srgbClr val="FFFF00"/>
            </a:solidFill>
            <a:ln>
              <a:solidFill>
                <a:srgbClr val="FFFF00"/>
              </a:solidFill>
            </a:ln>
          </c:spPr>
          <c:invertIfNegative val="0"/>
          <c:dLbls>
            <c:dLbl>
              <c:idx val="0"/>
              <c:delete val="1"/>
              <c:extLst>
                <c:ext xmlns:c15="http://schemas.microsoft.com/office/drawing/2012/chart" uri="{CE6537A1-D6FC-4f65-9D91-7224C49458BB}"/>
              </c:extLst>
            </c:dLbl>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dLbl>
              <c:idx val="6"/>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'Distribución Días'!$B$5:$B$11</c:f>
              <c:strCache>
                <c:ptCount val="7"/>
                <c:pt idx="0">
                  <c:v>Torreón-2012</c:v>
                </c:pt>
                <c:pt idx="1">
                  <c:v>Torreón-2013</c:v>
                </c:pt>
                <c:pt idx="2">
                  <c:v>Torreón-2014</c:v>
                </c:pt>
                <c:pt idx="3">
                  <c:v>Torreón-2015</c:v>
                </c:pt>
                <c:pt idx="4">
                  <c:v>Saltillo-2016</c:v>
                </c:pt>
                <c:pt idx="5">
                  <c:v>Monclova-2016</c:v>
                </c:pt>
                <c:pt idx="6">
                  <c:v>Piedras Negras-2016</c:v>
                </c:pt>
              </c:strCache>
            </c:strRef>
          </c:cat>
          <c:val>
            <c:numRef>
              <c:f>'Distribución Días'!$F$5:$F$11</c:f>
              <c:numCache>
                <c:formatCode>General</c:formatCode>
                <c:ptCount val="7"/>
                <c:pt idx="0">
                  <c:v>0</c:v>
                </c:pt>
                <c:pt idx="1">
                  <c:v>2</c:v>
                </c:pt>
                <c:pt idx="2">
                  <c:v>1</c:v>
                </c:pt>
                <c:pt idx="3">
                  <c:v>0</c:v>
                </c:pt>
                <c:pt idx="4">
                  <c:v>0</c:v>
                </c:pt>
                <c:pt idx="5">
                  <c:v>0</c:v>
                </c:pt>
                <c:pt idx="6">
                  <c:v>0</c:v>
                </c:pt>
              </c:numCache>
            </c:numRef>
          </c:val>
        </c:ser>
        <c:ser>
          <c:idx val="4"/>
          <c:order val="4"/>
          <c:tx>
            <c:strRef>
              <c:f>'Distribución Días'!$G$4</c:f>
              <c:strCache>
                <c:ptCount val="1"/>
                <c:pt idx="0">
                  <c:v>Malos</c:v>
                </c:pt>
              </c:strCache>
            </c:strRef>
          </c:tx>
          <c:spPr>
            <a:solidFill>
              <a:srgbClr val="FF0000"/>
            </a:solidFill>
            <a:ln>
              <a:solidFill>
                <a:srgbClr val="FF0000"/>
              </a:solidFill>
            </a:ln>
          </c:spPr>
          <c:invertIfNegative val="0"/>
          <c:cat>
            <c:strRef>
              <c:f>'Distribución Días'!$B$5:$B$11</c:f>
              <c:strCache>
                <c:ptCount val="7"/>
                <c:pt idx="0">
                  <c:v>Torreón-2012</c:v>
                </c:pt>
                <c:pt idx="1">
                  <c:v>Torreón-2013</c:v>
                </c:pt>
                <c:pt idx="2">
                  <c:v>Torreón-2014</c:v>
                </c:pt>
                <c:pt idx="3">
                  <c:v>Torreón-2015</c:v>
                </c:pt>
                <c:pt idx="4">
                  <c:v>Saltillo-2016</c:v>
                </c:pt>
                <c:pt idx="5">
                  <c:v>Monclova-2016</c:v>
                </c:pt>
                <c:pt idx="6">
                  <c:v>Piedras Negras-2016</c:v>
                </c:pt>
              </c:strCache>
            </c:strRef>
          </c:cat>
          <c:val>
            <c:numRef>
              <c:f>'Distribución Días'!$G$5:$G$11</c:f>
              <c:numCache>
                <c:formatCode>General</c:formatCode>
                <c:ptCount val="7"/>
                <c:pt idx="0">
                  <c:v>0</c:v>
                </c:pt>
                <c:pt idx="1">
                  <c:v>0</c:v>
                </c:pt>
                <c:pt idx="2">
                  <c:v>0</c:v>
                </c:pt>
                <c:pt idx="3">
                  <c:v>0</c:v>
                </c:pt>
                <c:pt idx="4">
                  <c:v>0</c:v>
                </c:pt>
                <c:pt idx="5">
                  <c:v>0</c:v>
                </c:pt>
                <c:pt idx="6">
                  <c:v>0</c:v>
                </c:pt>
              </c:numCache>
            </c:numRef>
          </c:val>
        </c:ser>
        <c:dLbls>
          <c:showLegendKey val="0"/>
          <c:showVal val="0"/>
          <c:showCatName val="0"/>
          <c:showSerName val="0"/>
          <c:showPercent val="0"/>
          <c:showBubbleSize val="0"/>
        </c:dLbls>
        <c:gapWidth val="75"/>
        <c:overlap val="100"/>
        <c:axId val="144769408"/>
        <c:axId val="144771712"/>
      </c:barChart>
      <c:catAx>
        <c:axId val="144769408"/>
        <c:scaling>
          <c:orientation val="minMax"/>
        </c:scaling>
        <c:delete val="0"/>
        <c:axPos val="b"/>
        <c:title>
          <c:tx>
            <c:rich>
              <a:bodyPr/>
              <a:lstStyle/>
              <a:p>
                <a:pPr>
                  <a:defRPr lang="en-US" sz="1100" b="0"/>
                </a:pPr>
                <a:r>
                  <a:rPr lang="es-MX" sz="1100" b="0"/>
                  <a:t>Municipio</a:t>
                </a:r>
                <a:r>
                  <a:rPr lang="es-MX" sz="1100" b="0" baseline="0"/>
                  <a:t> y año</a:t>
                </a:r>
                <a:endParaRPr lang="es-MX" sz="1100" b="0"/>
              </a:p>
            </c:rich>
          </c:tx>
          <c:layout>
            <c:manualLayout>
              <c:xMode val="edge"/>
              <c:yMode val="edge"/>
              <c:x val="0.3737406296718"/>
              <c:y val="0.88416384033394202"/>
            </c:manualLayout>
          </c:layout>
          <c:overlay val="0"/>
        </c:title>
        <c:numFmt formatCode="General" sourceLinked="1"/>
        <c:majorTickMark val="none"/>
        <c:minorTickMark val="none"/>
        <c:tickLblPos val="nextTo"/>
        <c:txPr>
          <a:bodyPr/>
          <a:lstStyle/>
          <a:p>
            <a:pPr>
              <a:defRPr lang="en-US" sz="750" b="0"/>
            </a:pPr>
            <a:endParaRPr lang="es-MX"/>
          </a:p>
        </c:txPr>
        <c:crossAx val="144771712"/>
        <c:crosses val="autoZero"/>
        <c:auto val="1"/>
        <c:lblAlgn val="ctr"/>
        <c:lblOffset val="100"/>
        <c:noMultiLvlLbl val="0"/>
      </c:catAx>
      <c:valAx>
        <c:axId val="144771712"/>
        <c:scaling>
          <c:orientation val="minMax"/>
        </c:scaling>
        <c:delete val="0"/>
        <c:axPos val="l"/>
        <c:majorGridlines/>
        <c:title>
          <c:tx>
            <c:rich>
              <a:bodyPr/>
              <a:lstStyle/>
              <a:p>
                <a:pPr>
                  <a:defRPr lang="en-US" sz="1100" b="0"/>
                </a:pPr>
                <a:r>
                  <a:rPr lang="es-MX" sz="1100" b="0"/>
                  <a:t>Número</a:t>
                </a:r>
                <a:r>
                  <a:rPr lang="es-MX" sz="1100" b="0" baseline="0"/>
                  <a:t> de días</a:t>
                </a:r>
                <a:endParaRPr lang="es-MX" sz="1100" b="0"/>
              </a:p>
            </c:rich>
          </c:tx>
          <c:layout>
            <c:manualLayout>
              <c:xMode val="edge"/>
              <c:yMode val="edge"/>
              <c:x val="0"/>
              <c:y val="0.20597052944692901"/>
            </c:manualLayout>
          </c:layout>
          <c:overlay val="0"/>
        </c:title>
        <c:numFmt formatCode="General" sourceLinked="1"/>
        <c:majorTickMark val="out"/>
        <c:minorTickMark val="none"/>
        <c:tickLblPos val="nextTo"/>
        <c:txPr>
          <a:bodyPr/>
          <a:lstStyle/>
          <a:p>
            <a:pPr>
              <a:defRPr lang="en-US"/>
            </a:pPr>
            <a:endParaRPr lang="es-MX"/>
          </a:p>
        </c:txPr>
        <c:crossAx val="144769408"/>
        <c:crosses val="autoZero"/>
        <c:crossBetween val="between"/>
      </c:valAx>
    </c:plotArea>
    <c:legend>
      <c:legendPos val="r"/>
      <c:legendEntry>
        <c:idx val="0"/>
        <c:txPr>
          <a:bodyPr/>
          <a:lstStyle/>
          <a:p>
            <a:pPr>
              <a:defRPr lang="en-US" sz="1000" b="0"/>
            </a:pPr>
            <a:endParaRPr lang="es-MX"/>
          </a:p>
        </c:txPr>
      </c:legendEntry>
      <c:layout>
        <c:manualLayout>
          <c:xMode val="edge"/>
          <c:yMode val="edge"/>
          <c:x val="0.86466012821406202"/>
          <c:y val="0.23813874948386499"/>
          <c:w val="0.131064497793173"/>
          <c:h val="0.36389621007783601"/>
        </c:manualLayout>
      </c:layout>
      <c:overlay val="0"/>
      <c:txPr>
        <a:bodyPr/>
        <a:lstStyle/>
        <a:p>
          <a:pPr>
            <a:defRPr lang="en-US" sz="1000" b="0"/>
          </a:pPr>
          <a:endParaRPr lang="es-MX"/>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328777130964499"/>
          <c:y val="6.9333333333333302E-2"/>
          <c:w val="0.69610878579077795"/>
          <c:h val="0.72652430446194205"/>
        </c:manualLayout>
      </c:layout>
      <c:barChart>
        <c:barDir val="col"/>
        <c:grouping val="stacked"/>
        <c:varyColors val="0"/>
        <c:ser>
          <c:idx val="0"/>
          <c:order val="0"/>
          <c:tx>
            <c:strRef>
              <c:f>'Distribución Días'!$C$4</c:f>
              <c:strCache>
                <c:ptCount val="1"/>
                <c:pt idx="0">
                  <c:v>SM</c:v>
                </c:pt>
              </c:strCache>
            </c:strRef>
          </c:tx>
          <c:spPr>
            <a:solidFill>
              <a:schemeClr val="tx1">
                <a:lumMod val="50000"/>
                <a:lumOff val="50000"/>
              </a:schemeClr>
            </a:solidFill>
            <a:ln>
              <a:solidFill>
                <a:schemeClr val="tx1">
                  <a:lumMod val="50000"/>
                  <a:lumOff val="50000"/>
                </a:schemeClr>
              </a:solidFill>
            </a:ln>
          </c:spPr>
          <c:invertIfNegative val="0"/>
          <c:dLbls>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'Distribución Días'!$B$5:$B$10</c:f>
              <c:strCache>
                <c:ptCount val="6"/>
                <c:pt idx="0">
                  <c:v>Torreón-2012</c:v>
                </c:pt>
                <c:pt idx="1">
                  <c:v>Torreón-2013</c:v>
                </c:pt>
                <c:pt idx="2">
                  <c:v>Torreón-2014</c:v>
                </c:pt>
                <c:pt idx="3">
                  <c:v>Saltillo-2016</c:v>
                </c:pt>
                <c:pt idx="4">
                  <c:v>Monclova-2016</c:v>
                </c:pt>
                <c:pt idx="5">
                  <c:v>Piedras Negras-2016</c:v>
                </c:pt>
              </c:strCache>
            </c:strRef>
          </c:cat>
          <c:val>
            <c:numRef>
              <c:f>'Distribución Días'!$C$5:$C$10</c:f>
              <c:numCache>
                <c:formatCode>General</c:formatCode>
                <c:ptCount val="6"/>
                <c:pt idx="1">
                  <c:v>0</c:v>
                </c:pt>
                <c:pt idx="2">
                  <c:v>0</c:v>
                </c:pt>
                <c:pt idx="3">
                  <c:v>60</c:v>
                </c:pt>
                <c:pt idx="4">
                  <c:v>60</c:v>
                </c:pt>
                <c:pt idx="5">
                  <c:v>60</c:v>
                </c:pt>
              </c:numCache>
            </c:numRef>
          </c:val>
        </c:ser>
        <c:ser>
          <c:idx val="1"/>
          <c:order val="1"/>
          <c:tx>
            <c:strRef>
              <c:f>'Distribución Días'!$D$4</c:f>
              <c:strCache>
                <c:ptCount val="1"/>
                <c:pt idx="0">
                  <c:v>DI</c:v>
                </c:pt>
              </c:strCache>
            </c:strRef>
          </c:tx>
          <c:spPr>
            <a:solidFill>
              <a:schemeClr val="bg1"/>
            </a:solidFill>
            <a:ln>
              <a:solidFill>
                <a:schemeClr val="bg1">
                  <a:lumMod val="65000"/>
                </a:schemeClr>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'Distribución Días'!$B$5:$B$10</c:f>
              <c:strCache>
                <c:ptCount val="6"/>
                <c:pt idx="0">
                  <c:v>Torreón-2012</c:v>
                </c:pt>
                <c:pt idx="1">
                  <c:v>Torreón-2013</c:v>
                </c:pt>
                <c:pt idx="2">
                  <c:v>Torreón-2014</c:v>
                </c:pt>
                <c:pt idx="3">
                  <c:v>Saltillo-2016</c:v>
                </c:pt>
                <c:pt idx="4">
                  <c:v>Monclova-2016</c:v>
                </c:pt>
                <c:pt idx="5">
                  <c:v>Piedras Negras-2016</c:v>
                </c:pt>
              </c:strCache>
            </c:strRef>
          </c:cat>
          <c:val>
            <c:numRef>
              <c:f>'Distribución Días'!$D$5:$D$10</c:f>
              <c:numCache>
                <c:formatCode>General</c:formatCode>
                <c:ptCount val="6"/>
                <c:pt idx="0">
                  <c:v>246</c:v>
                </c:pt>
                <c:pt idx="1">
                  <c:v>179</c:v>
                </c:pt>
                <c:pt idx="2">
                  <c:v>198</c:v>
                </c:pt>
                <c:pt idx="3">
                  <c:v>73</c:v>
                </c:pt>
                <c:pt idx="4">
                  <c:v>161</c:v>
                </c:pt>
                <c:pt idx="5">
                  <c:v>217</c:v>
                </c:pt>
              </c:numCache>
            </c:numRef>
          </c:val>
        </c:ser>
        <c:ser>
          <c:idx val="2"/>
          <c:order val="2"/>
          <c:tx>
            <c:strRef>
              <c:f>'Distribución Días'!$E$4</c:f>
              <c:strCache>
                <c:ptCount val="1"/>
                <c:pt idx="0">
                  <c:v>Buenos</c:v>
                </c:pt>
              </c:strCache>
            </c:strRef>
          </c:tx>
          <c:spPr>
            <a:solidFill>
              <a:srgbClr val="00B050"/>
            </a:solidFill>
            <a:ln>
              <a:solidFill>
                <a:srgbClr val="00B050"/>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'Distribución Días'!$B$5:$B$10</c:f>
              <c:strCache>
                <c:ptCount val="6"/>
                <c:pt idx="0">
                  <c:v>Torreón-2012</c:v>
                </c:pt>
                <c:pt idx="1">
                  <c:v>Torreón-2013</c:v>
                </c:pt>
                <c:pt idx="2">
                  <c:v>Torreón-2014</c:v>
                </c:pt>
                <c:pt idx="3">
                  <c:v>Saltillo-2016</c:v>
                </c:pt>
                <c:pt idx="4">
                  <c:v>Monclova-2016</c:v>
                </c:pt>
                <c:pt idx="5">
                  <c:v>Piedras Negras-2016</c:v>
                </c:pt>
              </c:strCache>
            </c:strRef>
          </c:cat>
          <c:val>
            <c:numRef>
              <c:f>'Distribución Días'!$E$5:$E$10</c:f>
              <c:numCache>
                <c:formatCode>General</c:formatCode>
                <c:ptCount val="6"/>
                <c:pt idx="0">
                  <c:v>115</c:v>
                </c:pt>
                <c:pt idx="1">
                  <c:v>184</c:v>
                </c:pt>
                <c:pt idx="2">
                  <c:v>134</c:v>
                </c:pt>
                <c:pt idx="3">
                  <c:v>233</c:v>
                </c:pt>
                <c:pt idx="4">
                  <c:v>145</c:v>
                </c:pt>
                <c:pt idx="5">
                  <c:v>89</c:v>
                </c:pt>
              </c:numCache>
            </c:numRef>
          </c:val>
        </c:ser>
        <c:ser>
          <c:idx val="3"/>
          <c:order val="3"/>
          <c:tx>
            <c:strRef>
              <c:f>'Distribución Días'!$F$4</c:f>
              <c:strCache>
                <c:ptCount val="1"/>
                <c:pt idx="0">
                  <c:v>Regulares</c:v>
                </c:pt>
              </c:strCache>
            </c:strRef>
          </c:tx>
          <c:spPr>
            <a:solidFill>
              <a:srgbClr val="FFFF00"/>
            </a:solidFill>
            <a:ln>
              <a:solidFill>
                <a:srgbClr val="FFFF00"/>
              </a:solidFill>
            </a:ln>
          </c:spPr>
          <c:invertIfNegative val="0"/>
          <c:dLbls>
            <c:dLbl>
              <c:idx val="3"/>
              <c:delete val="1"/>
              <c:extLst>
                <c:ext xmlns:c15="http://schemas.microsoft.com/office/drawing/2012/chart" uri="{CE6537A1-D6FC-4f65-9D91-7224C49458BB}"/>
              </c:extLst>
            </c:dLbl>
            <c:dLbl>
              <c:idx val="4"/>
              <c:delete val="1"/>
              <c:extLst>
                <c:ext xmlns:c15="http://schemas.microsoft.com/office/drawing/2012/chart" uri="{CE6537A1-D6FC-4f65-9D91-7224C49458BB}"/>
              </c:extLst>
            </c:dLbl>
            <c:dLbl>
              <c:idx val="5"/>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'Distribución Días'!$B$5:$B$10</c:f>
              <c:strCache>
                <c:ptCount val="6"/>
                <c:pt idx="0">
                  <c:v>Torreón-2012</c:v>
                </c:pt>
                <c:pt idx="1">
                  <c:v>Torreón-2013</c:v>
                </c:pt>
                <c:pt idx="2">
                  <c:v>Torreón-2014</c:v>
                </c:pt>
                <c:pt idx="3">
                  <c:v>Saltillo-2016</c:v>
                </c:pt>
                <c:pt idx="4">
                  <c:v>Monclova-2016</c:v>
                </c:pt>
                <c:pt idx="5">
                  <c:v>Piedras Negras-2016</c:v>
                </c:pt>
              </c:strCache>
            </c:strRef>
          </c:cat>
          <c:val>
            <c:numRef>
              <c:f>'Distribución Días'!$F$5:$F$10</c:f>
              <c:numCache>
                <c:formatCode>General</c:formatCode>
                <c:ptCount val="6"/>
                <c:pt idx="0">
                  <c:v>5</c:v>
                </c:pt>
                <c:pt idx="1">
                  <c:v>2</c:v>
                </c:pt>
                <c:pt idx="2">
                  <c:v>33</c:v>
                </c:pt>
                <c:pt idx="3">
                  <c:v>0</c:v>
                </c:pt>
                <c:pt idx="4">
                  <c:v>0</c:v>
                </c:pt>
                <c:pt idx="5">
                  <c:v>0</c:v>
                </c:pt>
              </c:numCache>
            </c:numRef>
          </c:val>
        </c:ser>
        <c:ser>
          <c:idx val="4"/>
          <c:order val="4"/>
          <c:tx>
            <c:strRef>
              <c:f>'Distribución Días'!$G$4</c:f>
              <c:strCache>
                <c:ptCount val="1"/>
                <c:pt idx="0">
                  <c:v>Malos</c:v>
                </c:pt>
              </c:strCache>
            </c:strRef>
          </c:tx>
          <c:spPr>
            <a:solidFill>
              <a:srgbClr val="FF0000"/>
            </a:solidFill>
            <a:ln>
              <a:solidFill>
                <a:srgbClr val="FF0000"/>
              </a:solidFill>
            </a:ln>
          </c:spPr>
          <c:invertIfNegative val="0"/>
          <c:cat>
            <c:strRef>
              <c:f>'Distribución Días'!$B$5:$B$10</c:f>
              <c:strCache>
                <c:ptCount val="6"/>
                <c:pt idx="0">
                  <c:v>Torreón-2012</c:v>
                </c:pt>
                <c:pt idx="1">
                  <c:v>Torreón-2013</c:v>
                </c:pt>
                <c:pt idx="2">
                  <c:v>Torreón-2014</c:v>
                </c:pt>
                <c:pt idx="3">
                  <c:v>Saltillo-2016</c:v>
                </c:pt>
                <c:pt idx="4">
                  <c:v>Monclova-2016</c:v>
                </c:pt>
                <c:pt idx="5">
                  <c:v>Piedras Negras-2016</c:v>
                </c:pt>
              </c:strCache>
            </c:strRef>
          </c:cat>
          <c:val>
            <c:numRef>
              <c:f>'Distribución Días'!$G$5:$G$10</c:f>
              <c:numCache>
                <c:formatCode>General</c:formatCode>
                <c:ptCount val="6"/>
                <c:pt idx="0">
                  <c:v>0</c:v>
                </c:pt>
                <c:pt idx="1">
                  <c:v>0</c:v>
                </c:pt>
                <c:pt idx="2">
                  <c:v>0</c:v>
                </c:pt>
                <c:pt idx="3">
                  <c:v>0</c:v>
                </c:pt>
                <c:pt idx="4">
                  <c:v>0</c:v>
                </c:pt>
                <c:pt idx="5">
                  <c:v>0</c:v>
                </c:pt>
              </c:numCache>
            </c:numRef>
          </c:val>
        </c:ser>
        <c:dLbls>
          <c:showLegendKey val="0"/>
          <c:showVal val="0"/>
          <c:showCatName val="0"/>
          <c:showSerName val="0"/>
          <c:showPercent val="0"/>
          <c:showBubbleSize val="0"/>
        </c:dLbls>
        <c:gapWidth val="75"/>
        <c:overlap val="100"/>
        <c:axId val="177596672"/>
        <c:axId val="185666176"/>
      </c:barChart>
      <c:catAx>
        <c:axId val="177596672"/>
        <c:scaling>
          <c:orientation val="minMax"/>
        </c:scaling>
        <c:delete val="0"/>
        <c:axPos val="b"/>
        <c:title>
          <c:tx>
            <c:rich>
              <a:bodyPr/>
              <a:lstStyle/>
              <a:p>
                <a:pPr>
                  <a:defRPr lang="en-US" b="0"/>
                </a:pPr>
                <a:r>
                  <a:rPr lang="es-MX" b="0"/>
                  <a:t>Municipio y año</a:t>
                </a:r>
              </a:p>
            </c:rich>
          </c:tx>
          <c:layout>
            <c:manualLayout>
              <c:xMode val="edge"/>
              <c:yMode val="edge"/>
              <c:x val="0.39319830438710401"/>
              <c:y val="0.89333333333333298"/>
            </c:manualLayout>
          </c:layout>
          <c:overlay val="0"/>
        </c:title>
        <c:numFmt formatCode="General" sourceLinked="1"/>
        <c:majorTickMark val="none"/>
        <c:minorTickMark val="none"/>
        <c:tickLblPos val="nextTo"/>
        <c:txPr>
          <a:bodyPr rot="0" vert="horz"/>
          <a:lstStyle/>
          <a:p>
            <a:pPr>
              <a:defRPr lang="en-US" sz="800"/>
            </a:pPr>
            <a:endParaRPr lang="es-MX"/>
          </a:p>
        </c:txPr>
        <c:crossAx val="185666176"/>
        <c:crosses val="autoZero"/>
        <c:auto val="1"/>
        <c:lblAlgn val="ctr"/>
        <c:lblOffset val="100"/>
        <c:noMultiLvlLbl val="0"/>
      </c:catAx>
      <c:valAx>
        <c:axId val="185666176"/>
        <c:scaling>
          <c:orientation val="minMax"/>
        </c:scaling>
        <c:delete val="0"/>
        <c:axPos val="l"/>
        <c:majorGridlines/>
        <c:title>
          <c:tx>
            <c:rich>
              <a:bodyPr/>
              <a:lstStyle/>
              <a:p>
                <a:pPr>
                  <a:defRPr lang="en-US" b="0"/>
                </a:pPr>
                <a:r>
                  <a:rPr lang="es-MX" b="0"/>
                  <a:t>Número de días</a:t>
                </a:r>
              </a:p>
            </c:rich>
          </c:tx>
          <c:layout>
            <c:manualLayout>
              <c:xMode val="edge"/>
              <c:yMode val="edge"/>
              <c:x val="9.0518216791129202E-3"/>
              <c:y val="0.20933501312336"/>
            </c:manualLayout>
          </c:layout>
          <c:overlay val="0"/>
        </c:title>
        <c:numFmt formatCode="General" sourceLinked="1"/>
        <c:majorTickMark val="out"/>
        <c:minorTickMark val="none"/>
        <c:tickLblPos val="nextTo"/>
        <c:txPr>
          <a:bodyPr rot="0" vert="horz"/>
          <a:lstStyle/>
          <a:p>
            <a:pPr>
              <a:defRPr lang="en-US"/>
            </a:pPr>
            <a:endParaRPr lang="es-MX"/>
          </a:p>
        </c:txPr>
        <c:crossAx val="177596672"/>
        <c:crosses val="autoZero"/>
        <c:crossBetween val="between"/>
      </c:valAx>
    </c:plotArea>
    <c:legend>
      <c:legendPos val="r"/>
      <c:layout>
        <c:manualLayout>
          <c:xMode val="edge"/>
          <c:yMode val="edge"/>
          <c:x val="0.83804134971926902"/>
          <c:y val="0.24113427821522301"/>
          <c:w val="0.142031100491257"/>
          <c:h val="0.31635788396857201"/>
        </c:manualLayout>
      </c:layout>
      <c:overlay val="0"/>
      <c:txPr>
        <a:bodyPr/>
        <a:lstStyle/>
        <a:p>
          <a:pPr>
            <a:defRPr lang="en-US" b="0"/>
          </a:pPr>
          <a:endParaRPr lang="es-MX"/>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s-MX"/>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TotalTime>
  <Pages>7</Pages>
  <Words>1041</Words>
  <Characters>5727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dc:creator>
  <cp:lastModifiedBy>santiago</cp:lastModifiedBy>
  <cp:revision>1</cp:revision>
  <dcterms:created xsi:type="dcterms:W3CDTF">2017-08-24T19:27:00Z</dcterms:created>
  <dcterms:modified xsi:type="dcterms:W3CDTF">2017-08-24T19:36:00Z</dcterms:modified>
</cp:coreProperties>
</file>